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8C" w:rsidRPr="00FB338C" w:rsidRDefault="00FB338C" w:rsidP="00FB338C">
      <w:pPr>
        <w:shd w:val="clear" w:color="auto" w:fill="FFFFFF"/>
        <w:spacing w:before="525" w:after="375" w:line="240" w:lineRule="auto"/>
        <w:jc w:val="both"/>
        <w:outlineLvl w:val="0"/>
        <w:rPr>
          <w:rFonts w:ascii="Times New Roman" w:eastAsia="Times New Roman" w:hAnsi="Times New Roman" w:cs="Times New Roman"/>
          <w:color w:val="353535"/>
          <w:kern w:val="36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eastAsia="ru-RU"/>
        </w:rPr>
        <w:t>Оформление списка литературы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Список литературы оформляется в алфавитном порядке по фамилии автора, сначала русскоязычная литература, затем иностранная, далее интернет-сайты. На все источники списка литературы в тексте тезисов необходима ссылка, оформленная [1], где 1 — номер источника в списке.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Ниже приводим образцы оформления списка литературы для тезисов, представленных для участия в конференции «Ломоносов».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Для монографий: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Пацына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В.Л., Квасков В.Д. Атлас фонетики и графики арабского языка. М., 2003.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Нушикян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Э.А. Типология интонации эмоциональной речи. Киев; Одесса, 1986.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Достоевский Ф.М. Полное собрание сочинений: В 30 т. Л., 1972-1989. Т. 6, 7, 9.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Для статей в отдельных изданиях и сборниках: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Князев С.В. Фонетическая реализация ударения в различных фразовых позициях в современном русском языке // Фонетика сегодня: актуальные проблемы и университетское преподавание. М, 1998. С. 57-89.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Ткачев И.Ю. Семантический признак ’Накопитель эффекта’ и его релевантность для построения таксономической классификации русских глаголов // Материалы XII Международной конференции студентов, аспирантов и молодых ученых «Ломоносов». 12-15 апреля 2005 г. Т.IV: Иностранные языки. Филология. М., 2005.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Писемский А.Ф. Фельетоны Никиты </w:t>
      </w: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Безрылова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// Писемский А.Ф. Полн. собр. соч. </w:t>
      </w:r>
      <w:proofErr w:type="gram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СПб.;</w:t>
      </w:r>
      <w:proofErr w:type="gram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М., 1913. Т. 7. С. 612-625.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Для статей в журналах и периодических изданиях: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Панков Ф.И. Функционально-семантическая категория наречной </w:t>
      </w: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темпоральности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система значений наречий времени в русском языке // Вестник </w:t>
      </w: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Моск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ун-та, Сер. 9. Филология. 2005. </w:t>
      </w: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No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 1. С. 45-50.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Словари: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Словарь русских говоров Среднего Урала / Под ред. А.К. Матвеева: В 7 т. Свердловск, 1964-1988.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lastRenderedPageBreak/>
        <w:t>Федорова Л.Г. Цитата // Литературная энциклопедия терминов и понятий. М., 2001. С. 507.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Для авторефератов: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Калюжная И.А. Концепт «детство» в немецкой и русской </w:t>
      </w: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лингвокультурах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</w:t>
      </w: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Автореф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</w:t>
      </w: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дисс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... канд. </w:t>
      </w: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филол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 наук. Волгоград, 2007.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Интернет-сайт и источники из интернета: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Грамота.ру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: http://www.gramota.ru</w:t>
      </w:r>
      <w:bookmarkStart w:id="0" w:name="_GoBack"/>
      <w:bookmarkEnd w:id="0"/>
    </w:p>
    <w:p w:rsidR="0003111B" w:rsidRPr="00FB338C" w:rsidRDefault="0003111B" w:rsidP="00FB33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111B" w:rsidRPr="00FB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E1"/>
    <w:rsid w:val="0003111B"/>
    <w:rsid w:val="00FB338C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41F77-F18D-42F9-97E7-A65F4C11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>MICROSOFT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2023-12-11T16:33:00Z</dcterms:created>
  <dcterms:modified xsi:type="dcterms:W3CDTF">2023-12-11T16:33:00Z</dcterms:modified>
</cp:coreProperties>
</file>