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6" w:rsidRPr="002E5496" w:rsidRDefault="002E5496" w:rsidP="002E549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b/>
          <w:iCs/>
          <w:caps/>
          <w:sz w:val="20"/>
          <w:szCs w:val="20"/>
        </w:rPr>
      </w:pPr>
      <w:proofErr w:type="spellStart"/>
      <w:r w:rsidRPr="002E5496">
        <w:rPr>
          <w:rFonts w:ascii="Times New Roman" w:hAnsi="Times New Roman"/>
          <w:b/>
          <w:iCs/>
          <w:caps/>
          <w:sz w:val="20"/>
          <w:szCs w:val="20"/>
        </w:rPr>
        <w:t>УДК</w:t>
      </w:r>
      <w:proofErr w:type="spellEnd"/>
      <w:r w:rsidRPr="002E5496">
        <w:rPr>
          <w:rFonts w:ascii="Times New Roman" w:hAnsi="Times New Roman"/>
          <w:b/>
          <w:iCs/>
          <w:caps/>
          <w:sz w:val="20"/>
          <w:szCs w:val="20"/>
        </w:rPr>
        <w:t xml:space="preserve"> </w:t>
      </w:r>
      <w:r w:rsidRPr="002E5496">
        <w:rPr>
          <w:rFonts w:ascii="Times New Roman" w:hAnsi="Times New Roman"/>
          <w:b/>
          <w:sz w:val="20"/>
          <w:szCs w:val="20"/>
          <w:shd w:val="clear" w:color="auto" w:fill="FFFFFF"/>
        </w:rPr>
        <w:t>378:004</w:t>
      </w:r>
    </w:p>
    <w:p w:rsidR="002E5496" w:rsidRPr="002E5496" w:rsidRDefault="002E5496" w:rsidP="002E54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КОМПЕТЕНЦИИ БУДУЩЕГО В УСЛОВИЯХ </w:t>
      </w:r>
      <w:proofErr w:type="spellStart"/>
      <w:r w:rsidRPr="002E5496">
        <w:rPr>
          <w:rFonts w:ascii="Times New Roman" w:hAnsi="Times New Roman"/>
          <w:b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b/>
          <w:sz w:val="20"/>
          <w:szCs w:val="20"/>
        </w:rPr>
        <w:t xml:space="preserve"> ОБРАЗОВАНИЯ</w:t>
      </w:r>
    </w:p>
    <w:p w:rsidR="002E5496" w:rsidRPr="002E5496" w:rsidRDefault="002E5496" w:rsidP="002E5496">
      <w:pPr>
        <w:spacing w:after="0" w:line="240" w:lineRule="auto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2E5496">
        <w:rPr>
          <w:rFonts w:ascii="Times New Roman" w:hAnsi="Times New Roman"/>
          <w:i/>
          <w:sz w:val="20"/>
          <w:szCs w:val="20"/>
        </w:rPr>
        <w:t xml:space="preserve">Хитрова Анна Викторовна, кандидат педагогических наук, доцент кафедры начального, дошкольного и психолого-педагогического образования, Евпаторийский </w:t>
      </w:r>
      <w:r w:rsidRPr="002E5496">
        <w:rPr>
          <w:rFonts w:ascii="Times New Roman" w:hAnsi="Times New Roman"/>
          <w:i/>
          <w:sz w:val="20"/>
          <w:szCs w:val="20"/>
        </w:rPr>
        <w:t>институт</w:t>
      </w:r>
      <w:bookmarkStart w:id="0" w:name="_GoBack"/>
      <w:bookmarkEnd w:id="0"/>
      <w:r w:rsidRPr="002E5496">
        <w:rPr>
          <w:rFonts w:ascii="Times New Roman" w:hAnsi="Times New Roman"/>
          <w:i/>
          <w:sz w:val="20"/>
          <w:szCs w:val="20"/>
        </w:rPr>
        <w:t xml:space="preserve"> социальных наук (филиал) ФГАОУ ВО «Крымский федеральный университет имени В.И. Вернадского»</w:t>
      </w:r>
    </w:p>
    <w:p w:rsidR="002E5496" w:rsidRPr="002E5496" w:rsidRDefault="002E5496" w:rsidP="002E5496">
      <w:pPr>
        <w:widowControl w:val="0"/>
        <w:tabs>
          <w:tab w:val="left" w:pos="1134"/>
        </w:tabs>
        <w:spacing w:after="0" w:line="240" w:lineRule="auto"/>
        <w:ind w:left="3402"/>
        <w:contextualSpacing/>
        <w:jc w:val="both"/>
        <w:rPr>
          <w:rFonts w:ascii="Times New Roman" w:hAnsi="Times New Roman"/>
          <w:sz w:val="20"/>
          <w:szCs w:val="20"/>
        </w:rPr>
      </w:pP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Постановка проблемы. </w:t>
      </w:r>
      <w:r w:rsidRPr="002E5496">
        <w:rPr>
          <w:rFonts w:ascii="Times New Roman" w:hAnsi="Times New Roman"/>
          <w:sz w:val="20"/>
          <w:szCs w:val="20"/>
        </w:rPr>
        <w:t xml:space="preserve">Современный мир подвижен и непредсказуем, глобальные процессы, происходящие в экономике и технике, оказывают влияние на все сферы жизни человека, в том числе и на образование. Такой мир американцы назвали мир </w:t>
      </w:r>
      <w:proofErr w:type="spellStart"/>
      <w:r w:rsidRPr="002E5496">
        <w:rPr>
          <w:rFonts w:ascii="Times New Roman" w:hAnsi="Times New Roman"/>
          <w:sz w:val="20"/>
          <w:szCs w:val="20"/>
        </w:rPr>
        <w:t>VUCA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– аббревиатура английских слов </w:t>
      </w:r>
      <w:proofErr w:type="spellStart"/>
      <w:r w:rsidRPr="002E5496">
        <w:rPr>
          <w:rFonts w:ascii="Times New Roman" w:hAnsi="Times New Roman"/>
          <w:sz w:val="20"/>
          <w:szCs w:val="20"/>
        </w:rPr>
        <w:t>volatility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(нестабильность), </w:t>
      </w:r>
      <w:proofErr w:type="spellStart"/>
      <w:r w:rsidRPr="002E5496">
        <w:rPr>
          <w:rFonts w:ascii="Times New Roman" w:hAnsi="Times New Roman"/>
          <w:sz w:val="20"/>
          <w:szCs w:val="20"/>
        </w:rPr>
        <w:t>uncertainty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(неопределенность), </w:t>
      </w:r>
      <w:proofErr w:type="spellStart"/>
      <w:r w:rsidRPr="002E5496">
        <w:rPr>
          <w:rFonts w:ascii="Times New Roman" w:hAnsi="Times New Roman"/>
          <w:sz w:val="20"/>
          <w:szCs w:val="20"/>
        </w:rPr>
        <w:t>complexity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(сложность) и </w:t>
      </w:r>
      <w:proofErr w:type="spellStart"/>
      <w:r w:rsidRPr="002E5496">
        <w:rPr>
          <w:rFonts w:ascii="Times New Roman" w:hAnsi="Times New Roman"/>
          <w:sz w:val="20"/>
          <w:szCs w:val="20"/>
        </w:rPr>
        <w:t>ambiguity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(неоднозначность) [1].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С этой связи, правительством предпринимаются попытки по обеспечению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образования, в частности, распоряжением Правительства РФ от 21 декабря 2021 г. № 3759-р утверждено «Стратегическое направление в области цифровой трансформации науки и высшего образования» [5]. Реализация стратегического направления способствует достижению показателей национальных целей в соответствии с Указом Президента Российской Федерации от 21 июля 2020 г. № 474 «О национальных целях развития Российской Федерации на период до 2032 года»: «… достижение «цифровой зрелости» ключевых отраслей экономики, социальной сферы, в том числе здравоохранения и образования, а также государственного управления…» [5].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Одной из задач цифровой трансформации является: «повышение качества высшего образования и научных исследований за счет внедрения комплексного подхода к цифровой трансформации через трансформацию 5 основных блоков, оказывающих наибольшее влияние на деятельность образовательных организаций высшего образования и научных организаций – «Цифровые сервисы», «Информационные системы», «Управление данными», «Инфраструктура», «Кадры»» [5]. Отсюда, компетенции будущего в условиях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 приобретают особую значимость. Сегодня недостаточно быть просто профессионалом, нужно быть гибким, мобильным, уметь четко и быстро определять проблему, собирать команду для ее решения, управлять этой командой.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Анализ исследований и публикаций. </w:t>
      </w:r>
      <w:r w:rsidRPr="002E5496">
        <w:rPr>
          <w:rFonts w:ascii="Times New Roman" w:hAnsi="Times New Roman"/>
          <w:sz w:val="20"/>
          <w:szCs w:val="20"/>
        </w:rPr>
        <w:t>Впервые к</w:t>
      </w:r>
      <w:r w:rsidRPr="002E5496">
        <w:rPr>
          <w:rFonts w:ascii="Times New Roman" w:hAnsi="Times New Roman"/>
          <w:b/>
          <w:sz w:val="20"/>
          <w:szCs w:val="20"/>
        </w:rPr>
        <w:t xml:space="preserve"> </w:t>
      </w:r>
      <w:r w:rsidRPr="002E5496">
        <w:rPr>
          <w:rFonts w:ascii="Times New Roman" w:hAnsi="Times New Roman"/>
          <w:sz w:val="20"/>
          <w:szCs w:val="20"/>
        </w:rPr>
        <w:t>проблеме компетенций будущего обратились спикеры Всемирного экономического форума (</w:t>
      </w:r>
      <w:proofErr w:type="spellStart"/>
      <w:r w:rsidRPr="002E5496">
        <w:rPr>
          <w:rFonts w:ascii="Times New Roman" w:hAnsi="Times New Roman"/>
          <w:sz w:val="20"/>
          <w:szCs w:val="20"/>
        </w:rPr>
        <w:t>World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Economic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Forum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) в 2011 году. Так, по прогнозам аналитиков, уже в ближайшие годы изменится 35% ключевых востребованных компетенций. И этот тренд на изменения будет сохраняться. Изучением компетенций </w:t>
      </w:r>
      <w:r w:rsidRPr="002E5496">
        <w:rPr>
          <w:rFonts w:ascii="Times New Roman" w:hAnsi="Times New Roman"/>
          <w:sz w:val="20"/>
          <w:szCs w:val="20"/>
          <w:lang w:val="en-US"/>
        </w:rPr>
        <w:t>XXI</w:t>
      </w:r>
      <w:r w:rsidRPr="002E5496">
        <w:rPr>
          <w:rFonts w:ascii="Times New Roman" w:hAnsi="Times New Roman"/>
          <w:sz w:val="20"/>
          <w:szCs w:val="20"/>
        </w:rPr>
        <w:t xml:space="preserve"> века и навыков будущего занимались Л. М. </w:t>
      </w:r>
      <w:proofErr w:type="spellStart"/>
      <w:r w:rsidRPr="002E5496">
        <w:rPr>
          <w:rFonts w:ascii="Times New Roman" w:hAnsi="Times New Roman"/>
          <w:sz w:val="20"/>
          <w:szCs w:val="20"/>
        </w:rPr>
        <w:t>Андрюхина</w:t>
      </w:r>
      <w:proofErr w:type="spellEnd"/>
      <w:r w:rsidRPr="002E5496">
        <w:rPr>
          <w:rFonts w:ascii="Times New Roman" w:hAnsi="Times New Roman"/>
          <w:sz w:val="20"/>
          <w:szCs w:val="20"/>
        </w:rPr>
        <w:t>, Е. Лошкарева, П. Лукша, И. </w:t>
      </w:r>
      <w:proofErr w:type="spellStart"/>
      <w:r w:rsidRPr="002E5496">
        <w:rPr>
          <w:rFonts w:ascii="Times New Roman" w:hAnsi="Times New Roman"/>
          <w:sz w:val="20"/>
          <w:szCs w:val="20"/>
        </w:rPr>
        <w:t>Ниненко</w:t>
      </w:r>
      <w:proofErr w:type="spellEnd"/>
      <w:r w:rsidRPr="002E5496">
        <w:rPr>
          <w:rFonts w:ascii="Times New Roman" w:hAnsi="Times New Roman"/>
          <w:sz w:val="20"/>
          <w:szCs w:val="20"/>
        </w:rPr>
        <w:t>, И. Смагин, Д. Судаков.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Цель данной статьи </w:t>
      </w:r>
      <w:r w:rsidRPr="002E5496">
        <w:rPr>
          <w:rFonts w:ascii="Times New Roman" w:hAnsi="Times New Roman"/>
          <w:sz w:val="20"/>
          <w:szCs w:val="20"/>
        </w:rPr>
        <w:t xml:space="preserve">– рассмотрение компетенций будущего в условиях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 через призму современных подходов.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Изложение основного материала. </w:t>
      </w:r>
      <w:r w:rsidRPr="002E5496">
        <w:rPr>
          <w:rFonts w:ascii="Times New Roman" w:hAnsi="Times New Roman"/>
          <w:sz w:val="20"/>
          <w:szCs w:val="20"/>
        </w:rPr>
        <w:t>В научном докладе</w:t>
      </w:r>
      <w:r w:rsidRPr="002E5496">
        <w:rPr>
          <w:rFonts w:ascii="Times New Roman" w:hAnsi="Times New Roman"/>
          <w:b/>
          <w:sz w:val="20"/>
          <w:szCs w:val="20"/>
        </w:rPr>
        <w:t xml:space="preserve"> </w:t>
      </w:r>
      <w:r w:rsidRPr="002E5496">
        <w:rPr>
          <w:rFonts w:ascii="Times New Roman" w:hAnsi="Times New Roman"/>
          <w:sz w:val="20"/>
          <w:szCs w:val="20"/>
        </w:rPr>
        <w:t>Л. М. </w:t>
      </w:r>
      <w:proofErr w:type="spellStart"/>
      <w:r w:rsidRPr="002E5496">
        <w:rPr>
          <w:rFonts w:ascii="Times New Roman" w:hAnsi="Times New Roman"/>
          <w:sz w:val="20"/>
          <w:szCs w:val="20"/>
        </w:rPr>
        <w:t>Андрюхиной</w:t>
      </w:r>
      <w:proofErr w:type="spellEnd"/>
      <w:r w:rsidRPr="002E5496">
        <w:rPr>
          <w:rFonts w:ascii="Times New Roman" w:hAnsi="Times New Roman"/>
          <w:b/>
          <w:sz w:val="20"/>
          <w:szCs w:val="20"/>
        </w:rPr>
        <w:t xml:space="preserve"> «</w:t>
      </w:r>
      <w:r w:rsidRPr="002E5496">
        <w:rPr>
          <w:rFonts w:ascii="Times New Roman" w:hAnsi="Times New Roman"/>
          <w:sz w:val="20"/>
          <w:szCs w:val="20"/>
        </w:rPr>
        <w:t xml:space="preserve">Компетенции </w:t>
      </w:r>
      <w:proofErr w:type="spellStart"/>
      <w:r w:rsidRPr="002E5496">
        <w:rPr>
          <w:rFonts w:ascii="Times New Roman" w:hAnsi="Times New Roman"/>
          <w:sz w:val="20"/>
          <w:szCs w:val="20"/>
        </w:rPr>
        <w:t>XXI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века: методология </w:t>
      </w:r>
      <w:proofErr w:type="spellStart"/>
      <w:r w:rsidRPr="002E5496">
        <w:rPr>
          <w:rFonts w:ascii="Times New Roman" w:hAnsi="Times New Roman"/>
          <w:sz w:val="20"/>
          <w:szCs w:val="20"/>
        </w:rPr>
        <w:t>форсайта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E5496">
        <w:rPr>
          <w:rFonts w:ascii="Times New Roman" w:hAnsi="Times New Roman"/>
          <w:sz w:val="20"/>
          <w:szCs w:val="20"/>
        </w:rPr>
        <w:t>адорнации</w:t>
      </w:r>
      <w:proofErr w:type="spellEnd"/>
      <w:r w:rsidRPr="002E5496">
        <w:rPr>
          <w:rFonts w:ascii="Times New Roman" w:hAnsi="Times New Roman"/>
          <w:b/>
          <w:sz w:val="20"/>
          <w:szCs w:val="20"/>
        </w:rPr>
        <w:t xml:space="preserve">» </w:t>
      </w:r>
      <w:r w:rsidRPr="002E5496">
        <w:rPr>
          <w:rFonts w:ascii="Times New Roman" w:hAnsi="Times New Roman"/>
          <w:sz w:val="20"/>
          <w:szCs w:val="20"/>
        </w:rPr>
        <w:t>[1]</w:t>
      </w:r>
      <w:r w:rsidRPr="002E5496">
        <w:rPr>
          <w:rFonts w:ascii="Times New Roman" w:hAnsi="Times New Roman"/>
          <w:b/>
          <w:sz w:val="20"/>
          <w:szCs w:val="20"/>
        </w:rPr>
        <w:t xml:space="preserve"> </w:t>
      </w:r>
      <w:r w:rsidRPr="002E5496">
        <w:rPr>
          <w:rFonts w:ascii="Times New Roman" w:hAnsi="Times New Roman"/>
          <w:sz w:val="20"/>
          <w:szCs w:val="20"/>
        </w:rPr>
        <w:t xml:space="preserve">дано такое определение понятия «компетенция», принятое </w:t>
      </w:r>
      <w:proofErr w:type="spellStart"/>
      <w:r w:rsidRPr="002E5496">
        <w:rPr>
          <w:rFonts w:ascii="Times New Roman" w:hAnsi="Times New Roman"/>
          <w:sz w:val="20"/>
          <w:szCs w:val="20"/>
        </w:rPr>
        <w:t>Седефоп</w:t>
      </w:r>
      <w:proofErr w:type="spellEnd"/>
      <w:r w:rsidRPr="002E5496">
        <w:rPr>
          <w:rFonts w:ascii="Times New Roman" w:hAnsi="Times New Roman"/>
          <w:sz w:val="20"/>
          <w:szCs w:val="20"/>
        </w:rPr>
        <w:t>, – «это способность применять результаты обучения адекватно определенному контексту (образование, работа, личное или профессиональное развитие» [1]. Кроме этого, автором проанализированы основные консорциумы, занимающиеся разработкой списка навыков (компетенций) 21 века, результаты анализа представлены в таблице 1.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Таблица 1. – Консорциумы, разрабатывающие списки навыков (компетенций) 21 века [1]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687"/>
      </w:tblGrid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 xml:space="preserve">Партнерство по обучению в </w:t>
            </w:r>
            <w:proofErr w:type="spellStart"/>
            <w:r w:rsidRPr="002E5496">
              <w:rPr>
                <w:rFonts w:ascii="Times New Roman" w:hAnsi="Times New Roman"/>
              </w:rPr>
              <w:t>XXI</w:t>
            </w:r>
            <w:proofErr w:type="spellEnd"/>
            <w:r w:rsidRPr="002E5496">
              <w:rPr>
                <w:rFonts w:ascii="Times New Roman" w:hAnsi="Times New Roman"/>
              </w:rPr>
              <w:t xml:space="preserve"> веке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США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P21</w:t>
            </w:r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 xml:space="preserve">Оценка и обучение навыкам </w:t>
            </w:r>
            <w:proofErr w:type="spellStart"/>
            <w:r w:rsidRPr="002E5496">
              <w:rPr>
                <w:rFonts w:ascii="Times New Roman" w:hAnsi="Times New Roman"/>
              </w:rPr>
              <w:t>XXI</w:t>
            </w:r>
            <w:proofErr w:type="spellEnd"/>
            <w:r w:rsidRPr="002E5496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Междунар</w:t>
            </w:r>
            <w:proofErr w:type="spellEnd"/>
            <w:r w:rsidRPr="002E5496">
              <w:rPr>
                <w:rFonts w:ascii="Times New Roman" w:hAnsi="Times New Roman"/>
              </w:rPr>
              <w:t>.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ATCS</w:t>
            </w:r>
            <w:proofErr w:type="spellEnd"/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Международное объединение по развитию технологий в образовании (</w:t>
            </w:r>
            <w:proofErr w:type="spellStart"/>
            <w:r w:rsidRPr="002E5496">
              <w:rPr>
                <w:rFonts w:ascii="Times New Roman" w:hAnsi="Times New Roman"/>
              </w:rPr>
              <w:t>International</w:t>
            </w:r>
            <w:proofErr w:type="spellEnd"/>
            <w:r w:rsidRPr="002E5496">
              <w:rPr>
                <w:rFonts w:ascii="Times New Roman" w:hAnsi="Times New Roman"/>
              </w:rPr>
              <w:t xml:space="preserve"> </w:t>
            </w:r>
            <w:proofErr w:type="spellStart"/>
            <w:r w:rsidRPr="002E5496">
              <w:rPr>
                <w:rFonts w:ascii="Times New Roman" w:hAnsi="Times New Roman"/>
              </w:rPr>
              <w:t>Society</w:t>
            </w:r>
            <w:proofErr w:type="spellEnd"/>
            <w:r w:rsidRPr="002E5496">
              <w:rPr>
                <w:rFonts w:ascii="Times New Roman" w:hAnsi="Times New Roman"/>
              </w:rPr>
              <w:t xml:space="preserve"> </w:t>
            </w:r>
            <w:proofErr w:type="spellStart"/>
            <w:r w:rsidRPr="002E5496">
              <w:rPr>
                <w:rFonts w:ascii="Times New Roman" w:hAnsi="Times New Roman"/>
              </w:rPr>
              <w:t>for</w:t>
            </w:r>
            <w:proofErr w:type="spellEnd"/>
            <w:r w:rsidRPr="002E5496">
              <w:rPr>
                <w:rFonts w:ascii="Times New Roman" w:hAnsi="Times New Roman"/>
              </w:rPr>
              <w:t xml:space="preserve"> </w:t>
            </w:r>
            <w:proofErr w:type="spellStart"/>
            <w:r w:rsidRPr="002E5496">
              <w:rPr>
                <w:rFonts w:ascii="Times New Roman" w:hAnsi="Times New Roman"/>
              </w:rPr>
              <w:t>Technology</w:t>
            </w:r>
            <w:proofErr w:type="spellEnd"/>
            <w:r w:rsidRPr="002E5496">
              <w:rPr>
                <w:rFonts w:ascii="Times New Roman" w:hAnsi="Times New Roman"/>
              </w:rPr>
              <w:t xml:space="preserve"> </w:t>
            </w:r>
            <w:proofErr w:type="spellStart"/>
            <w:r w:rsidRPr="002E5496">
              <w:rPr>
                <w:rFonts w:ascii="Times New Roman" w:hAnsi="Times New Roman"/>
              </w:rPr>
              <w:t>in</w:t>
            </w:r>
            <w:proofErr w:type="spellEnd"/>
            <w:r w:rsidRPr="002E5496">
              <w:rPr>
                <w:rFonts w:ascii="Times New Roman" w:hAnsi="Times New Roman"/>
              </w:rPr>
              <w:t xml:space="preserve"> </w:t>
            </w:r>
            <w:proofErr w:type="spellStart"/>
            <w:r w:rsidRPr="002E5496">
              <w:rPr>
                <w:rFonts w:ascii="Times New Roman" w:hAnsi="Times New Roman"/>
              </w:rPr>
              <w:t>Education</w:t>
            </w:r>
            <w:proofErr w:type="spellEnd"/>
            <w:r w:rsidRPr="002E5496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США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ISTE</w:t>
            </w:r>
            <w:proofErr w:type="spellEnd"/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Европейский союз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Междунар</w:t>
            </w:r>
            <w:proofErr w:type="spellEnd"/>
            <w:r w:rsidRPr="002E5496">
              <w:rPr>
                <w:rFonts w:ascii="Times New Roman" w:hAnsi="Times New Roman"/>
              </w:rPr>
              <w:t>.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EU</w:t>
            </w:r>
            <w:proofErr w:type="spellEnd"/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Организация экономического сотрудничества и развития (</w:t>
            </w:r>
            <w:proofErr w:type="spellStart"/>
            <w:r w:rsidRPr="002E5496">
              <w:rPr>
                <w:rFonts w:ascii="Times New Roman" w:hAnsi="Times New Roman"/>
              </w:rPr>
              <w:t>ОЭСР</w:t>
            </w:r>
            <w:proofErr w:type="spellEnd"/>
            <w:r w:rsidRPr="002E5496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Междунар</w:t>
            </w:r>
            <w:proofErr w:type="spellEnd"/>
            <w:r w:rsidRPr="002E5496">
              <w:rPr>
                <w:rFonts w:ascii="Times New Roman" w:hAnsi="Times New Roman"/>
              </w:rPr>
              <w:t>.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OECD</w:t>
            </w:r>
            <w:proofErr w:type="spellEnd"/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Министерство образования Сингапура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Сингапур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MOES</w:t>
            </w:r>
            <w:proofErr w:type="spellEnd"/>
          </w:p>
        </w:tc>
      </w:tr>
      <w:tr w:rsidR="002E5496" w:rsidRPr="002E5496" w:rsidTr="00F90199">
        <w:tc>
          <w:tcPr>
            <w:tcW w:w="4673" w:type="dxa"/>
          </w:tcPr>
          <w:p w:rsidR="002E5496" w:rsidRPr="002E5496" w:rsidRDefault="002E5496" w:rsidP="00F90199">
            <w:pPr>
              <w:jc w:val="both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Министерство образования и науки России, Московская школа управления «</w:t>
            </w:r>
            <w:proofErr w:type="spellStart"/>
            <w:r w:rsidRPr="002E5496">
              <w:rPr>
                <w:rFonts w:ascii="Times New Roman" w:hAnsi="Times New Roman"/>
              </w:rPr>
              <w:t>Сколково</w:t>
            </w:r>
            <w:proofErr w:type="spellEnd"/>
            <w:r w:rsidRPr="002E5496">
              <w:rPr>
                <w:rFonts w:ascii="Times New Roman" w:hAnsi="Times New Roman"/>
              </w:rPr>
              <w:t>» (Атлас новых профессий, 2014)</w:t>
            </w:r>
          </w:p>
        </w:tc>
        <w:tc>
          <w:tcPr>
            <w:tcW w:w="1985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r w:rsidRPr="002E5496">
              <w:rPr>
                <w:rFonts w:ascii="Times New Roman" w:hAnsi="Times New Roman"/>
              </w:rPr>
              <w:t>Россия</w:t>
            </w:r>
          </w:p>
        </w:tc>
        <w:tc>
          <w:tcPr>
            <w:tcW w:w="2687" w:type="dxa"/>
          </w:tcPr>
          <w:p w:rsidR="002E5496" w:rsidRPr="002E5496" w:rsidRDefault="002E5496" w:rsidP="00F901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5496">
              <w:rPr>
                <w:rFonts w:ascii="Times New Roman" w:hAnsi="Times New Roman"/>
              </w:rPr>
              <w:t>ФГОС</w:t>
            </w:r>
            <w:proofErr w:type="spellEnd"/>
            <w:r w:rsidRPr="002E5496">
              <w:rPr>
                <w:rFonts w:ascii="Times New Roman" w:hAnsi="Times New Roman"/>
              </w:rPr>
              <w:t>, «Форсайт Компетенций – 2030»</w:t>
            </w:r>
          </w:p>
        </w:tc>
      </w:tr>
    </w:tbl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Как видно из таблицы 1, отечественный подход представлен разработкой «Форсайта Компетенций – 2030», подобный опыт обобщает результаты многолетних исследований по определению ключевых компетенций, востребованных в условиях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на территории Российской Федерации.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Особый интерес для нашего исследования представляет карта профессиональных навыков будущего, которая была презентована в 2011 году Институтом будущего (</w:t>
      </w:r>
      <w:proofErr w:type="spellStart"/>
      <w:r w:rsidRPr="002E5496">
        <w:rPr>
          <w:rFonts w:ascii="Times New Roman" w:hAnsi="Times New Roman"/>
          <w:sz w:val="20"/>
          <w:szCs w:val="20"/>
        </w:rPr>
        <w:t>The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Institute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for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the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Future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5496">
        <w:rPr>
          <w:rFonts w:ascii="Times New Roman" w:hAnsi="Times New Roman"/>
          <w:sz w:val="20"/>
          <w:szCs w:val="20"/>
        </w:rPr>
        <w:t>Palo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Alto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5496">
        <w:rPr>
          <w:rFonts w:ascii="Times New Roman" w:hAnsi="Times New Roman"/>
          <w:sz w:val="20"/>
          <w:szCs w:val="20"/>
        </w:rPr>
        <w:t>USA</w:t>
      </w:r>
      <w:proofErr w:type="spellEnd"/>
      <w:r w:rsidRPr="002E5496">
        <w:rPr>
          <w:rFonts w:ascii="Times New Roman" w:hAnsi="Times New Roman"/>
          <w:sz w:val="20"/>
          <w:szCs w:val="20"/>
        </w:rPr>
        <w:t>) [1].</w:t>
      </w:r>
    </w:p>
    <w:p w:rsidR="002E5496" w:rsidRPr="002E5496" w:rsidRDefault="002E5496" w:rsidP="002E5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5496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E0CA7BC" wp14:editId="468BC66A">
            <wp:extent cx="3914775" cy="2657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55" t="22243" r="7001" b="13879"/>
                    <a:stretch/>
                  </pic:blipFill>
                  <pic:spPr bwMode="auto">
                    <a:xfrm>
                      <a:off x="0" y="0"/>
                      <a:ext cx="391477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Рис. 1. Карта профессиональных навыков будущего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На рисунке 1 продемонстрированы глобальные тенденции, среди которых: компьютеризированный мир, существенный рост долголетия, </w:t>
      </w:r>
      <w:proofErr w:type="spellStart"/>
      <w:r w:rsidRPr="002E5496">
        <w:rPr>
          <w:rFonts w:ascii="Times New Roman" w:hAnsi="Times New Roman"/>
          <w:sz w:val="20"/>
          <w:szCs w:val="20"/>
        </w:rPr>
        <w:t>суперструктурированные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организации, прогресс «умных» машин и систем, новая экология </w:t>
      </w:r>
      <w:proofErr w:type="spellStart"/>
      <w:r w:rsidRPr="002E5496">
        <w:rPr>
          <w:rFonts w:ascii="Times New Roman" w:hAnsi="Times New Roman"/>
          <w:sz w:val="20"/>
          <w:szCs w:val="20"/>
        </w:rPr>
        <w:t>медийной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среды и глобально связанный мир, перечисленные тренды определяют ключевые навыки / компетенции, </w:t>
      </w:r>
      <w:r w:rsidRPr="002E5496">
        <w:rPr>
          <w:rFonts w:ascii="Times New Roman" w:hAnsi="Times New Roman"/>
          <w:sz w:val="20"/>
          <w:szCs w:val="20"/>
        </w:rPr>
        <w:t>например,</w:t>
      </w:r>
      <w:r w:rsidRPr="002E5496">
        <w:rPr>
          <w:rFonts w:ascii="Times New Roman" w:hAnsi="Times New Roman"/>
          <w:sz w:val="20"/>
          <w:szCs w:val="20"/>
        </w:rPr>
        <w:t xml:space="preserve"> новаторское адаптивное мышление, межкультурная компетентность, проектный образ мышления. Понятно, что сегодня карта профессиональных навыков не менее актуальна, чем десять лет назад.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Обратимся к рассмотрению несколько иного подхода к определению компетенций будущего, в основе которого, лежит современная управленческая теория навыков. В частности, автор статьи С. Орлов «Компетенции будущего» [4], напоминает, что согласно данной теории, навыки разделяют на мягкие и жесткие – </w:t>
      </w:r>
      <w:proofErr w:type="spellStart"/>
      <w:r w:rsidRPr="002E5496">
        <w:rPr>
          <w:rFonts w:ascii="Times New Roman" w:hAnsi="Times New Roman"/>
          <w:sz w:val="20"/>
          <w:szCs w:val="20"/>
        </w:rPr>
        <w:t>hard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skills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E5496">
        <w:rPr>
          <w:rFonts w:ascii="Times New Roman" w:hAnsi="Times New Roman"/>
          <w:sz w:val="20"/>
          <w:szCs w:val="20"/>
        </w:rPr>
        <w:t>soft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skills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E5496">
        <w:rPr>
          <w:rFonts w:ascii="Times New Roman" w:hAnsi="Times New Roman"/>
          <w:sz w:val="20"/>
          <w:szCs w:val="20"/>
        </w:rPr>
        <w:t>Hard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skills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– это навыки работы преимущественно с машинами, </w:t>
      </w:r>
      <w:proofErr w:type="spellStart"/>
      <w:r w:rsidRPr="002E5496">
        <w:rPr>
          <w:rFonts w:ascii="Times New Roman" w:hAnsi="Times New Roman"/>
          <w:sz w:val="20"/>
          <w:szCs w:val="20"/>
        </w:rPr>
        <w:t>soft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skills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– с людьми и бумагами [4]. Автор обращает внимание, что «если рассмотреть градацию чуть шире, то жесткие навыки – это способность выполнять конкретную работу, результат которой проверяем и измеряем (и именно на это сейчас делается упор в профессиональном образовании). Проявление мягких навыков отследить сложнее» [4]. 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В качестве наглядного примера демонстрации взаимосвязи жестких и мягких навыков, авторы доклада «Навыки будущего. Что нужно знать и уметь в новом сложном мире» [3], изображают двухслойную матрешку, где внутри (или в основе компетенции) находятся жесткие навыки, а снаружи (в качестве дополняющих, модифицирующих, усиливающих основной навык) – мягкие. Модель навыков представлена на рисунке 2.</w:t>
      </w:r>
    </w:p>
    <w:p w:rsidR="002E5496" w:rsidRPr="002E5496" w:rsidRDefault="002E5496" w:rsidP="002E5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5496">
        <w:rPr>
          <w:noProof/>
          <w:sz w:val="20"/>
          <w:szCs w:val="20"/>
          <w:lang w:eastAsia="ru-RU"/>
        </w:rPr>
        <w:drawing>
          <wp:inline distT="0" distB="0" distL="0" distR="0" wp14:anchorId="7B47B8BB" wp14:editId="0986D12D">
            <wp:extent cx="3905250" cy="2047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10" t="21388" r="2352" b="13308"/>
                    <a:stretch/>
                  </pic:blipFill>
                  <pic:spPr bwMode="auto">
                    <a:xfrm>
                      <a:off x="0" y="0"/>
                      <a:ext cx="390525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Рис. 2. Модель навыков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В модели компетенций будущего эксперты предлагают использовать уже четыре слоя навыков: контекстные и узкоспециальные, в числе которых в первую очередь профессиональные и физические; кросс-контекстные, применяемые в более широких сферах социальной или личной деятельности (навыки чтения, письма, тайм-менеджмента, навыки работы в команде); </w:t>
      </w:r>
      <w:proofErr w:type="spellStart"/>
      <w:r w:rsidRPr="002E5496">
        <w:rPr>
          <w:rFonts w:ascii="Times New Roman" w:hAnsi="Times New Roman"/>
          <w:sz w:val="20"/>
          <w:szCs w:val="20"/>
        </w:rPr>
        <w:t>метанавыки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– различные режимы управления объектами в разуме или в физическом мире; наконец, экзистенциальные навыки – универсально применимы на протяжении всей жизни и в различных жизненных контекстах личности – способность ставить цели и достигать их, сила воли, самосознание, способность к </w:t>
      </w:r>
      <w:proofErr w:type="spellStart"/>
      <w:r w:rsidRPr="002E5496">
        <w:rPr>
          <w:rFonts w:ascii="Times New Roman" w:hAnsi="Times New Roman"/>
          <w:sz w:val="20"/>
          <w:szCs w:val="20"/>
        </w:rPr>
        <w:t>саморефлексии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(осознанность, </w:t>
      </w:r>
      <w:proofErr w:type="spellStart"/>
      <w:r w:rsidRPr="002E5496">
        <w:rPr>
          <w:rFonts w:ascii="Times New Roman" w:hAnsi="Times New Roman"/>
          <w:sz w:val="20"/>
          <w:szCs w:val="20"/>
        </w:rPr>
        <w:t>метапознание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), </w:t>
      </w:r>
      <w:r w:rsidRPr="002E5496">
        <w:rPr>
          <w:rFonts w:ascii="Times New Roman" w:hAnsi="Times New Roman"/>
          <w:sz w:val="20"/>
          <w:szCs w:val="20"/>
        </w:rPr>
        <w:lastRenderedPageBreak/>
        <w:t>способность учиться, разучиваться и переучиваться (саморазвитие) [4]. Новая модель компетенций будущего представлена на рисунке 3.</w:t>
      </w:r>
    </w:p>
    <w:p w:rsidR="002E5496" w:rsidRPr="002E5496" w:rsidRDefault="002E5496" w:rsidP="002E5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5496">
        <w:rPr>
          <w:noProof/>
          <w:sz w:val="20"/>
          <w:szCs w:val="20"/>
          <w:lang w:eastAsia="ru-RU"/>
        </w:rPr>
        <w:drawing>
          <wp:inline distT="0" distB="0" distL="0" distR="0" wp14:anchorId="14136CEA" wp14:editId="4845FE03">
            <wp:extent cx="3905250" cy="2171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663" t="22427" r="9086" b="17585"/>
                    <a:stretch/>
                  </pic:blipFill>
                  <pic:spPr bwMode="auto">
                    <a:xfrm>
                      <a:off x="0" y="0"/>
                      <a:ext cx="39052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Рис. 3. Новая модель компетенций будущего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В основе новой модели, как отмечает С. Орлов, будут лежать экзистенциальные навыки, так как именно они определяют характер человека, и </w:t>
      </w:r>
      <w:proofErr w:type="spellStart"/>
      <w:r w:rsidRPr="002E5496">
        <w:rPr>
          <w:rFonts w:ascii="Times New Roman" w:hAnsi="Times New Roman"/>
          <w:sz w:val="20"/>
          <w:szCs w:val="20"/>
        </w:rPr>
        <w:t>метанавыки</w:t>
      </w:r>
      <w:proofErr w:type="spellEnd"/>
      <w:r w:rsidRPr="002E5496">
        <w:rPr>
          <w:rFonts w:ascii="Times New Roman" w:hAnsi="Times New Roman"/>
          <w:sz w:val="20"/>
          <w:szCs w:val="20"/>
        </w:rPr>
        <w:t>, которые формируют способность оперировать окружающим и внутренним миром. Следующим слоем станут кросс-контекстные навыки, на которые опирается любая деятельность. А контекстные навыки, к которым относится большинство жестких навыков, находятся на внешнем слое, так как они могут меняться в соответствии с выполняемыми задачами.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Завершаем обзор компетенций будущего в условиях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образования, </w:t>
      </w:r>
      <w:proofErr w:type="spellStart"/>
      <w:r w:rsidRPr="002E5496">
        <w:rPr>
          <w:rFonts w:ascii="Times New Roman" w:hAnsi="Times New Roman"/>
          <w:sz w:val="20"/>
          <w:szCs w:val="20"/>
        </w:rPr>
        <w:t>надпрофессиональными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навыками, обозначенными экспертами Агентства стратегических инициатив и </w:t>
      </w:r>
      <w:proofErr w:type="spellStart"/>
      <w:r w:rsidRPr="002E5496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2E5496">
        <w:rPr>
          <w:rFonts w:ascii="Times New Roman" w:hAnsi="Times New Roman"/>
          <w:sz w:val="20"/>
          <w:szCs w:val="20"/>
        </w:rPr>
        <w:t>, а также авторским коллективом «Атлас новых профессий 3.0»: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концентрация и управление вниманием;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эмоциональная грамотность;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цифровая грамотность;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творчество, креативность;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экологическое мышление;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</w:t>
      </w:r>
      <w:proofErr w:type="spellStart"/>
      <w:r w:rsidRPr="002E5496">
        <w:rPr>
          <w:rFonts w:ascii="Times New Roman" w:hAnsi="Times New Roman"/>
          <w:sz w:val="20"/>
          <w:szCs w:val="20"/>
        </w:rPr>
        <w:t>кросскультурнсть</w:t>
      </w:r>
      <w:proofErr w:type="spellEnd"/>
      <w:r w:rsidRPr="002E5496">
        <w:rPr>
          <w:rFonts w:ascii="Times New Roman" w:hAnsi="Times New Roman"/>
          <w:sz w:val="20"/>
          <w:szCs w:val="20"/>
        </w:rPr>
        <w:t>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– способность к (само)обучению [2].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Как справедливо отмечают авторы доклада «Навыки будущего: Что нужно знать и уметь в новом сложном мире?» [3]: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«… Мы не можем научить людей креативности, предоставляя им стандартные задачи;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Мы не можем научить людей </w:t>
      </w:r>
      <w:proofErr w:type="spellStart"/>
      <w:r w:rsidRPr="002E5496">
        <w:rPr>
          <w:rFonts w:ascii="Times New Roman" w:hAnsi="Times New Roman"/>
          <w:sz w:val="20"/>
          <w:szCs w:val="20"/>
        </w:rPr>
        <w:t>эмпатии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и эмоциональному интеллекту, избавляясь от эмоций в образовательном процессе;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Мы не можем научить людей развивать </w:t>
      </w:r>
      <w:proofErr w:type="spellStart"/>
      <w:r w:rsidRPr="002E5496">
        <w:rPr>
          <w:rFonts w:ascii="Times New Roman" w:hAnsi="Times New Roman"/>
          <w:sz w:val="20"/>
          <w:szCs w:val="20"/>
        </w:rPr>
        <w:t>медиаграмотность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или информационную гигиену, не допускаем использование информационных технологий в школьных классах;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Мы не можем научить людей жить в балансе с биосферой, если лишаем их контакта с природой или постоянно называем природу «ресурсом»;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Мы не можем научить людей осознанности, если сами учителя не осознанны…» [3].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Выводы. </w:t>
      </w:r>
      <w:r w:rsidRPr="002E5496">
        <w:rPr>
          <w:rFonts w:ascii="Times New Roman" w:hAnsi="Times New Roman"/>
          <w:sz w:val="20"/>
          <w:szCs w:val="20"/>
        </w:rPr>
        <w:t xml:space="preserve">В современных реалиях цифровой трансформации, возможное решение проблем, связанных с формированием компетенций будущего – это пересмотр всей образовательной модели, изменение парадигмы в контексте востребованных </w:t>
      </w:r>
      <w:proofErr w:type="spellStart"/>
      <w:r w:rsidRPr="002E5496">
        <w:rPr>
          <w:rFonts w:ascii="Times New Roman" w:hAnsi="Times New Roman"/>
          <w:sz w:val="20"/>
          <w:szCs w:val="20"/>
        </w:rPr>
        <w:t>надпрофессиональных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навыков.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 xml:space="preserve">Резюме. </w:t>
      </w:r>
      <w:r w:rsidRPr="002E5496">
        <w:rPr>
          <w:rFonts w:ascii="Times New Roman" w:hAnsi="Times New Roman"/>
          <w:sz w:val="20"/>
          <w:szCs w:val="20"/>
        </w:rPr>
        <w:t xml:space="preserve">В статье анализируются существующие подходы к определению компетенций будущего в условиях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образования. Автором предпринята попытка обобщения актуальных исследований в рамках данного направления, что безусловно, позволит в дальнейших научных изысканиях, отследить возможность формирования и развития компетенций будущего на практике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>Ключевые слова:</w:t>
      </w:r>
      <w:r w:rsidRPr="002E54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5496">
        <w:rPr>
          <w:rFonts w:ascii="Times New Roman" w:hAnsi="Times New Roman"/>
          <w:sz w:val="20"/>
          <w:szCs w:val="20"/>
        </w:rPr>
        <w:t>цифровизация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образования, компетенция, компетенции будущего, </w:t>
      </w:r>
      <w:proofErr w:type="spellStart"/>
      <w:r w:rsidRPr="002E5496">
        <w:rPr>
          <w:rFonts w:ascii="Times New Roman" w:hAnsi="Times New Roman"/>
          <w:sz w:val="20"/>
          <w:szCs w:val="20"/>
        </w:rPr>
        <w:t>напрофессиональные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навыки.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2E5496">
        <w:rPr>
          <w:rFonts w:ascii="Times New Roman" w:hAnsi="Times New Roman"/>
          <w:b/>
          <w:sz w:val="20"/>
          <w:szCs w:val="20"/>
          <w:lang w:val="en-US"/>
        </w:rPr>
        <w:t>Summary.</w:t>
      </w:r>
      <w:r w:rsidRPr="002E5496">
        <w:rPr>
          <w:rFonts w:ascii="Times New Roman" w:hAnsi="Times New Roman"/>
          <w:sz w:val="20"/>
          <w:szCs w:val="20"/>
          <w:lang w:val="en-US"/>
        </w:rPr>
        <w:t xml:space="preserve"> The article analyzes existing approaches to determining the competencies of the future in the context of the digitalization of education. The author </w:t>
      </w:r>
      <w:proofErr w:type="gramStart"/>
      <w:r w:rsidRPr="002E5496">
        <w:rPr>
          <w:rFonts w:ascii="Times New Roman" w:hAnsi="Times New Roman"/>
          <w:sz w:val="20"/>
          <w:szCs w:val="20"/>
          <w:lang w:val="en-US"/>
        </w:rPr>
        <w:t>made an attempt</w:t>
      </w:r>
      <w:proofErr w:type="gramEnd"/>
      <w:r w:rsidRPr="002E5496">
        <w:rPr>
          <w:rFonts w:ascii="Times New Roman" w:hAnsi="Times New Roman"/>
          <w:sz w:val="20"/>
          <w:szCs w:val="20"/>
          <w:lang w:val="en-US"/>
        </w:rPr>
        <w:t xml:space="preserve"> to summarize current research in this area, which will certainly allow further scientific research to track the possibility of forming and developing the competencies of the future in practice.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2E5496">
        <w:rPr>
          <w:rFonts w:ascii="Times New Roman" w:hAnsi="Times New Roman"/>
          <w:b/>
          <w:sz w:val="20"/>
          <w:szCs w:val="20"/>
          <w:lang w:val="en-US"/>
        </w:rPr>
        <w:t>Keywords:</w:t>
      </w:r>
      <w:r w:rsidRPr="002E5496">
        <w:rPr>
          <w:rFonts w:ascii="Times New Roman" w:hAnsi="Times New Roman"/>
          <w:sz w:val="20"/>
          <w:szCs w:val="20"/>
          <w:lang w:val="en-US"/>
        </w:rPr>
        <w:t xml:space="preserve"> digitalization of education, competence, future competences, professional skills.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5496">
        <w:rPr>
          <w:rFonts w:ascii="Times New Roman" w:hAnsi="Times New Roman"/>
          <w:b/>
          <w:sz w:val="20"/>
          <w:szCs w:val="20"/>
        </w:rPr>
        <w:t>Список литературы: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1. </w:t>
      </w:r>
      <w:proofErr w:type="spellStart"/>
      <w:r w:rsidRPr="002E5496">
        <w:rPr>
          <w:rFonts w:ascii="Times New Roman" w:hAnsi="Times New Roman"/>
          <w:sz w:val="20"/>
          <w:szCs w:val="20"/>
        </w:rPr>
        <w:t>Андрюхина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5496">
        <w:rPr>
          <w:rFonts w:ascii="Times New Roman" w:hAnsi="Times New Roman"/>
          <w:sz w:val="20"/>
          <w:szCs w:val="20"/>
        </w:rPr>
        <w:t>Л.М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. Компетенции </w:t>
      </w:r>
      <w:proofErr w:type="spellStart"/>
      <w:r w:rsidRPr="002E5496">
        <w:rPr>
          <w:rFonts w:ascii="Times New Roman" w:hAnsi="Times New Roman"/>
          <w:sz w:val="20"/>
          <w:szCs w:val="20"/>
        </w:rPr>
        <w:t>XXI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века: методология </w:t>
      </w:r>
      <w:proofErr w:type="spellStart"/>
      <w:r w:rsidRPr="002E5496">
        <w:rPr>
          <w:rFonts w:ascii="Times New Roman" w:hAnsi="Times New Roman"/>
          <w:sz w:val="20"/>
          <w:szCs w:val="20"/>
        </w:rPr>
        <w:t>форсайта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E5496">
        <w:rPr>
          <w:rFonts w:ascii="Times New Roman" w:hAnsi="Times New Roman"/>
          <w:sz w:val="20"/>
          <w:szCs w:val="20"/>
        </w:rPr>
        <w:t>адорнации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/ Л. М. </w:t>
      </w:r>
      <w:proofErr w:type="spellStart"/>
      <w:r w:rsidRPr="002E5496">
        <w:rPr>
          <w:rFonts w:ascii="Times New Roman" w:hAnsi="Times New Roman"/>
          <w:sz w:val="20"/>
          <w:szCs w:val="20"/>
        </w:rPr>
        <w:t>Андрюхина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 // </w:t>
      </w:r>
      <w:r w:rsidRPr="002E5496">
        <w:rPr>
          <w:rFonts w:ascii="Times New Roman" w:hAnsi="Times New Roman"/>
          <w:caps/>
          <w:sz w:val="20"/>
          <w:szCs w:val="20"/>
        </w:rPr>
        <w:t>э</w:t>
      </w:r>
      <w:r w:rsidRPr="002E5496">
        <w:rPr>
          <w:rFonts w:ascii="Times New Roman" w:hAnsi="Times New Roman"/>
          <w:sz w:val="20"/>
          <w:szCs w:val="20"/>
        </w:rPr>
        <w:t>лектронный доступ: http://ncrao.rsvpu.ru/sites/default/files/konf_files/andryuhina.pdf.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2. Атлас новых профессий 3.0. / Под ред. Д. Варламовой, Д. Судакова. – М.: Альпина ПРО, 2021. – 472 с.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lastRenderedPageBreak/>
        <w:t xml:space="preserve">3. Навыки будущего: Что нужно знать и уметь в новом сложном мире? / Авт. </w:t>
      </w:r>
      <w:proofErr w:type="spellStart"/>
      <w:proofErr w:type="gramStart"/>
      <w:r w:rsidRPr="002E5496">
        <w:rPr>
          <w:rFonts w:ascii="Times New Roman" w:hAnsi="Times New Roman"/>
          <w:sz w:val="20"/>
          <w:szCs w:val="20"/>
        </w:rPr>
        <w:t>колл</w:t>
      </w:r>
      <w:proofErr w:type="spellEnd"/>
      <w:r w:rsidRPr="002E5496">
        <w:rPr>
          <w:rFonts w:ascii="Times New Roman" w:hAnsi="Times New Roman"/>
          <w:sz w:val="20"/>
          <w:szCs w:val="20"/>
        </w:rPr>
        <w:t>.:</w:t>
      </w:r>
      <w:proofErr w:type="gramEnd"/>
      <w:r w:rsidRPr="002E5496">
        <w:rPr>
          <w:rFonts w:ascii="Times New Roman" w:hAnsi="Times New Roman"/>
          <w:sz w:val="20"/>
          <w:szCs w:val="20"/>
        </w:rPr>
        <w:t xml:space="preserve"> Е. Лошкарева, П. Лукша, И. </w:t>
      </w:r>
      <w:proofErr w:type="spellStart"/>
      <w:r w:rsidRPr="002E5496">
        <w:rPr>
          <w:rFonts w:ascii="Times New Roman" w:hAnsi="Times New Roman"/>
          <w:sz w:val="20"/>
          <w:szCs w:val="20"/>
        </w:rPr>
        <w:t>Ниненко</w:t>
      </w:r>
      <w:proofErr w:type="spellEnd"/>
      <w:r w:rsidRPr="002E5496">
        <w:rPr>
          <w:rFonts w:ascii="Times New Roman" w:hAnsi="Times New Roman"/>
          <w:sz w:val="20"/>
          <w:szCs w:val="20"/>
        </w:rPr>
        <w:t xml:space="preserve">, И. Смагин, Д. Судаков // </w:t>
      </w:r>
      <w:r w:rsidRPr="002E5496">
        <w:rPr>
          <w:rFonts w:ascii="Times New Roman" w:hAnsi="Times New Roman"/>
          <w:caps/>
          <w:sz w:val="20"/>
          <w:szCs w:val="20"/>
        </w:rPr>
        <w:t>э</w:t>
      </w:r>
      <w:r w:rsidRPr="002E5496">
        <w:rPr>
          <w:rFonts w:ascii="Times New Roman" w:hAnsi="Times New Roman"/>
          <w:sz w:val="20"/>
          <w:szCs w:val="20"/>
        </w:rPr>
        <w:t>лектронный доступ: https://asi.ru/upload/upload_docs/sml/sudakov/skills.pdf.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>4. Орлов, С. Компетенции будущего / С. Орлов // Сибирская нефть. – 2020. – № 4/171. – С. 64-68.</w:t>
      </w:r>
    </w:p>
    <w:p w:rsidR="002E5496" w:rsidRPr="002E5496" w:rsidRDefault="002E5496" w:rsidP="002E54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5496">
        <w:rPr>
          <w:rFonts w:ascii="Times New Roman" w:hAnsi="Times New Roman"/>
          <w:sz w:val="20"/>
          <w:szCs w:val="20"/>
        </w:rPr>
        <w:t xml:space="preserve">5. Распоряжение Правительства РФ от 21 декабря 2021 г. № 3759-р утверждено «Стратегическое направление в области цифровой трансформации науки и высшего образования». – </w:t>
      </w:r>
      <w:r w:rsidRPr="002E5496">
        <w:rPr>
          <w:rFonts w:ascii="Times New Roman" w:hAnsi="Times New Roman"/>
          <w:caps/>
          <w:sz w:val="20"/>
          <w:szCs w:val="20"/>
        </w:rPr>
        <w:t>э</w:t>
      </w:r>
      <w:r w:rsidRPr="002E5496">
        <w:rPr>
          <w:rFonts w:ascii="Times New Roman" w:hAnsi="Times New Roman"/>
          <w:sz w:val="20"/>
          <w:szCs w:val="20"/>
        </w:rPr>
        <w:t xml:space="preserve">лектронный доступ: </w:t>
      </w:r>
      <w:hyperlink r:id="rId7" w:history="1">
        <w:r w:rsidRPr="002E5496">
          <w:rPr>
            <w:rStyle w:val="a3"/>
            <w:rFonts w:ascii="Times New Roman" w:hAnsi="Times New Roman"/>
            <w:sz w:val="20"/>
            <w:szCs w:val="20"/>
          </w:rPr>
          <w:t>https://www.garant.ru/products/ipo/prime/doc/403203308/</w:t>
        </w:r>
      </w:hyperlink>
      <w:r w:rsidRPr="002E5496">
        <w:rPr>
          <w:rFonts w:ascii="Times New Roman" w:hAnsi="Times New Roman"/>
          <w:sz w:val="20"/>
          <w:szCs w:val="20"/>
        </w:rPr>
        <w:t>.</w:t>
      </w:r>
    </w:p>
    <w:p w:rsidR="002E5496" w:rsidRPr="002E5496" w:rsidRDefault="002E5496" w:rsidP="002E5496">
      <w:pPr>
        <w:spacing w:after="0" w:line="240" w:lineRule="auto"/>
        <w:rPr>
          <w:rFonts w:ascii="Times New Roman Полужирный" w:hAnsi="Times New Roman Полужирный"/>
          <w:b/>
          <w:iCs/>
          <w:caps/>
          <w:sz w:val="20"/>
          <w:szCs w:val="20"/>
        </w:rPr>
      </w:pPr>
    </w:p>
    <w:p w:rsidR="00473656" w:rsidRPr="002E5496" w:rsidRDefault="00473656">
      <w:pPr>
        <w:rPr>
          <w:sz w:val="20"/>
          <w:szCs w:val="20"/>
        </w:rPr>
      </w:pPr>
    </w:p>
    <w:sectPr w:rsidR="00473656" w:rsidRPr="002E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6"/>
    <w:rsid w:val="002E5496"/>
    <w:rsid w:val="004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5F9F-2BEE-47C8-ABCD-AE016D8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5496"/>
    <w:rPr>
      <w:color w:val="0000FF"/>
      <w:u w:val="single"/>
    </w:rPr>
  </w:style>
  <w:style w:type="table" w:styleId="a4">
    <w:name w:val="Table Grid"/>
    <w:basedOn w:val="a1"/>
    <w:uiPriority w:val="39"/>
    <w:rsid w:val="002E54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32033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2022-10-28T04:54:00Z</dcterms:created>
  <dcterms:modified xsi:type="dcterms:W3CDTF">2022-10-28T04:56:00Z</dcterms:modified>
</cp:coreProperties>
</file>