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96" w:rsidRPr="00325EEE" w:rsidRDefault="002E4F96" w:rsidP="002E4F96">
      <w:pPr>
        <w:tabs>
          <w:tab w:val="left" w:pos="7460"/>
        </w:tabs>
        <w:ind w:firstLine="851"/>
        <w:jc w:val="right"/>
        <w:rPr>
          <w:b/>
          <w:color w:val="auto"/>
          <w:spacing w:val="0"/>
          <w:sz w:val="24"/>
          <w:szCs w:val="24"/>
        </w:rPr>
      </w:pPr>
      <w:r w:rsidRPr="00325EEE">
        <w:rPr>
          <w:b/>
          <w:color w:val="auto"/>
          <w:spacing w:val="0"/>
          <w:sz w:val="24"/>
          <w:szCs w:val="24"/>
        </w:rPr>
        <w:t>Приложение 1</w:t>
      </w:r>
    </w:p>
    <w:p w:rsidR="002E4F96" w:rsidRPr="00325EEE" w:rsidRDefault="002E4F96" w:rsidP="002E4F96">
      <w:pPr>
        <w:tabs>
          <w:tab w:val="left" w:pos="7460"/>
        </w:tabs>
        <w:ind w:firstLine="851"/>
        <w:jc w:val="both"/>
        <w:rPr>
          <w:color w:val="auto"/>
          <w:spacing w:val="0"/>
          <w:sz w:val="24"/>
          <w:szCs w:val="24"/>
        </w:rPr>
      </w:pPr>
    </w:p>
    <w:p w:rsidR="002E4F96" w:rsidRPr="00B7620F" w:rsidRDefault="002E4F96" w:rsidP="002E4F96">
      <w:pPr>
        <w:jc w:val="center"/>
        <w:rPr>
          <w:b/>
          <w:sz w:val="24"/>
          <w:szCs w:val="24"/>
        </w:rPr>
      </w:pPr>
      <w:r w:rsidRPr="00B7620F">
        <w:rPr>
          <w:b/>
          <w:sz w:val="24"/>
          <w:szCs w:val="24"/>
        </w:rPr>
        <w:t xml:space="preserve">Требования к оформлению статей </w:t>
      </w:r>
    </w:p>
    <w:p w:rsidR="002E4F96" w:rsidRPr="00B7620F" w:rsidRDefault="002E4F96" w:rsidP="002E4F96">
      <w:pPr>
        <w:ind w:firstLine="567"/>
        <w:jc w:val="center"/>
        <w:rPr>
          <w:b/>
          <w:sz w:val="24"/>
          <w:szCs w:val="24"/>
        </w:rPr>
      </w:pPr>
    </w:p>
    <w:p w:rsidR="002E4F96" w:rsidRPr="00B7620F" w:rsidRDefault="002E4F96" w:rsidP="002E4F96">
      <w:pPr>
        <w:tabs>
          <w:tab w:val="left" w:pos="1134"/>
        </w:tabs>
        <w:ind w:right="167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sz w:val="24"/>
          <w:szCs w:val="24"/>
        </w:rPr>
        <w:t>1.</w:t>
      </w:r>
      <w:r w:rsidRPr="00B7620F">
        <w:rPr>
          <w:rFonts w:eastAsia="Calibri"/>
          <w:sz w:val="24"/>
          <w:szCs w:val="24"/>
        </w:rPr>
        <w:tab/>
        <w:t xml:space="preserve">Статьи представляются на русском языке в электронном виде </w:t>
      </w:r>
      <w:r w:rsidRPr="00B7620F">
        <w:rPr>
          <w:rFonts w:eastAsia="Calibri"/>
          <w:spacing w:val="-4"/>
          <w:sz w:val="24"/>
          <w:szCs w:val="24"/>
        </w:rPr>
        <w:t xml:space="preserve">в текстовом редакторе </w:t>
      </w:r>
      <w:r w:rsidRPr="00B7620F">
        <w:rPr>
          <w:rFonts w:eastAsia="Calibri"/>
          <w:spacing w:val="-4"/>
          <w:sz w:val="24"/>
          <w:szCs w:val="24"/>
          <w:lang w:val="en-US"/>
        </w:rPr>
        <w:t>Microsoft</w:t>
      </w:r>
      <w:r w:rsidRPr="00B7620F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B7620F">
        <w:rPr>
          <w:rFonts w:eastAsia="Calibri"/>
          <w:spacing w:val="-4"/>
          <w:sz w:val="24"/>
          <w:szCs w:val="24"/>
        </w:rPr>
        <w:t>Word</w:t>
      </w:r>
      <w:proofErr w:type="spellEnd"/>
      <w:r w:rsidRPr="00B7620F">
        <w:rPr>
          <w:rFonts w:eastAsia="Calibri"/>
          <w:spacing w:val="-4"/>
          <w:sz w:val="24"/>
          <w:szCs w:val="24"/>
        </w:rPr>
        <w:t xml:space="preserve"> 2003-2016.</w:t>
      </w:r>
    </w:p>
    <w:p w:rsidR="002E4F96" w:rsidRPr="00B7620F" w:rsidRDefault="002E4F96" w:rsidP="002E4F96">
      <w:pPr>
        <w:tabs>
          <w:tab w:val="left" w:pos="1134"/>
        </w:tabs>
        <w:ind w:right="167" w:firstLine="567"/>
        <w:jc w:val="both"/>
        <w:rPr>
          <w:rFonts w:eastAsia="Calibri"/>
          <w:sz w:val="24"/>
          <w:szCs w:val="24"/>
        </w:rPr>
      </w:pPr>
      <w:r w:rsidRPr="00B7620F">
        <w:rPr>
          <w:rFonts w:eastAsia="Calibri"/>
          <w:spacing w:val="-4"/>
          <w:sz w:val="24"/>
          <w:szCs w:val="24"/>
        </w:rPr>
        <w:t>2.</w:t>
      </w:r>
      <w:r w:rsidRPr="00B7620F">
        <w:rPr>
          <w:rFonts w:eastAsia="Calibri"/>
          <w:spacing w:val="-4"/>
          <w:sz w:val="24"/>
          <w:szCs w:val="24"/>
        </w:rPr>
        <w:tab/>
      </w:r>
      <w:r w:rsidRPr="00B7620F">
        <w:rPr>
          <w:rFonts w:eastAsia="Calibri"/>
          <w:sz w:val="24"/>
          <w:szCs w:val="24"/>
        </w:rPr>
        <w:t xml:space="preserve">Объем статей, включая рисунки, таблицы, должен составлять от 10 до 20 тыс. знаков с пробелами. Текст должен быть набран шрифтом </w:t>
      </w:r>
      <w:proofErr w:type="spellStart"/>
      <w:r w:rsidRPr="00B7620F">
        <w:rPr>
          <w:rFonts w:eastAsia="Calibri"/>
          <w:sz w:val="24"/>
          <w:szCs w:val="24"/>
        </w:rPr>
        <w:t>Times</w:t>
      </w:r>
      <w:proofErr w:type="spellEnd"/>
      <w:r w:rsidRPr="00B7620F">
        <w:rPr>
          <w:rFonts w:eastAsia="Calibri"/>
          <w:sz w:val="24"/>
          <w:szCs w:val="24"/>
        </w:rPr>
        <w:t xml:space="preserve"> </w:t>
      </w:r>
      <w:proofErr w:type="spellStart"/>
      <w:r w:rsidRPr="00B7620F">
        <w:rPr>
          <w:rFonts w:eastAsia="Calibri"/>
          <w:sz w:val="24"/>
          <w:szCs w:val="24"/>
        </w:rPr>
        <w:t>New</w:t>
      </w:r>
      <w:proofErr w:type="spellEnd"/>
      <w:r w:rsidRPr="00B7620F">
        <w:rPr>
          <w:rFonts w:eastAsia="Calibri"/>
          <w:sz w:val="24"/>
          <w:szCs w:val="24"/>
        </w:rPr>
        <w:t xml:space="preserve"> </w:t>
      </w:r>
      <w:proofErr w:type="spellStart"/>
      <w:r w:rsidRPr="00B7620F">
        <w:rPr>
          <w:rFonts w:eastAsia="Calibri"/>
          <w:sz w:val="24"/>
          <w:szCs w:val="24"/>
        </w:rPr>
        <w:t>Roman</w:t>
      </w:r>
      <w:proofErr w:type="spellEnd"/>
      <w:r w:rsidRPr="00B7620F">
        <w:rPr>
          <w:rFonts w:eastAsia="Calibri"/>
          <w:sz w:val="24"/>
          <w:szCs w:val="24"/>
        </w:rPr>
        <w:t>, кегль 14, через интервал 1.3, выравнивание по ширине страницы.</w:t>
      </w:r>
    </w:p>
    <w:p w:rsidR="002E4F96" w:rsidRDefault="002E4F96" w:rsidP="002E4F96">
      <w:pPr>
        <w:tabs>
          <w:tab w:val="left" w:pos="1134"/>
        </w:tabs>
        <w:ind w:right="167" w:firstLine="567"/>
        <w:jc w:val="both"/>
        <w:rPr>
          <w:rFonts w:eastAsia="Calibri"/>
          <w:spacing w:val="-4"/>
          <w:sz w:val="24"/>
          <w:szCs w:val="24"/>
        </w:rPr>
      </w:pPr>
      <w:r w:rsidRPr="005333B6">
        <w:rPr>
          <w:rFonts w:eastAsia="Calibri"/>
          <w:sz w:val="24"/>
          <w:szCs w:val="24"/>
        </w:rPr>
        <w:t>3</w:t>
      </w:r>
      <w:r w:rsidRPr="00B7620F">
        <w:rPr>
          <w:rFonts w:eastAsia="Calibri"/>
          <w:sz w:val="24"/>
          <w:szCs w:val="24"/>
        </w:rPr>
        <w:t>.</w:t>
      </w:r>
      <w:r w:rsidRPr="00B7620F">
        <w:rPr>
          <w:rFonts w:eastAsia="Calibri"/>
          <w:sz w:val="24"/>
          <w:szCs w:val="24"/>
        </w:rPr>
        <w:tab/>
        <w:t xml:space="preserve">Размеры полей: верхний и нижний отступы – </w:t>
      </w:r>
      <w:smartTag w:uri="urn:schemas-microsoft-com:office:smarttags" w:element="metricconverter">
        <w:smartTagPr>
          <w:attr w:name="ProductID" w:val="2 см"/>
        </w:smartTagPr>
        <w:r w:rsidRPr="00B7620F">
          <w:rPr>
            <w:rFonts w:eastAsia="Calibri"/>
            <w:sz w:val="24"/>
            <w:szCs w:val="24"/>
          </w:rPr>
          <w:t>2 см</w:t>
        </w:r>
      </w:smartTag>
      <w:r w:rsidRPr="00B7620F">
        <w:rPr>
          <w:rFonts w:eastAsia="Calibri"/>
          <w:sz w:val="24"/>
          <w:szCs w:val="24"/>
        </w:rPr>
        <w:t xml:space="preserve">; левый отступ – </w:t>
      </w:r>
      <w:smartTag w:uri="urn:schemas-microsoft-com:office:smarttags" w:element="metricconverter">
        <w:smartTagPr>
          <w:attr w:name="ProductID" w:val="2,5 см"/>
        </w:smartTagPr>
        <w:r w:rsidRPr="00B7620F">
          <w:rPr>
            <w:rFonts w:eastAsia="Calibri"/>
            <w:sz w:val="24"/>
            <w:szCs w:val="24"/>
          </w:rPr>
          <w:t>2,5 см</w:t>
        </w:r>
      </w:smartTag>
      <w:r w:rsidRPr="00B7620F">
        <w:rPr>
          <w:rFonts w:eastAsia="Calibri"/>
          <w:sz w:val="24"/>
          <w:szCs w:val="24"/>
        </w:rPr>
        <w:t xml:space="preserve">; правый отступ – </w:t>
      </w:r>
      <w:smartTag w:uri="urn:schemas-microsoft-com:office:smarttags" w:element="metricconverter">
        <w:smartTagPr>
          <w:attr w:name="ProductID" w:val="1 см"/>
        </w:smartTagPr>
        <w:r w:rsidRPr="00B7620F">
          <w:rPr>
            <w:rFonts w:eastAsia="Calibri"/>
            <w:sz w:val="24"/>
            <w:szCs w:val="24"/>
          </w:rPr>
          <w:t>1 см</w:t>
        </w:r>
      </w:smartTag>
      <w:r w:rsidRPr="00B7620F">
        <w:rPr>
          <w:rFonts w:eastAsia="Calibri"/>
          <w:sz w:val="24"/>
          <w:szCs w:val="24"/>
        </w:rPr>
        <w:t xml:space="preserve">. </w:t>
      </w:r>
      <w:r w:rsidRPr="00B7620F">
        <w:rPr>
          <w:rFonts w:eastAsia="Calibri"/>
          <w:spacing w:val="-4"/>
          <w:sz w:val="24"/>
          <w:szCs w:val="24"/>
        </w:rPr>
        <w:t>Абзацные отступы должны быть одинаковыми по всему тексту – 1,25 см. Маркеры и другие знаки должны быть сохранены аналогичными на протяжении всего предоставляемого материала.</w:t>
      </w:r>
    </w:p>
    <w:p w:rsidR="002E4F96" w:rsidRPr="00B7620F" w:rsidRDefault="002E4F96" w:rsidP="002E4F9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333B6">
        <w:rPr>
          <w:spacing w:val="-4"/>
          <w:sz w:val="24"/>
          <w:szCs w:val="24"/>
        </w:rPr>
        <w:t>4</w:t>
      </w:r>
      <w:r w:rsidRPr="00B7620F">
        <w:rPr>
          <w:spacing w:val="-4"/>
          <w:sz w:val="24"/>
          <w:szCs w:val="24"/>
        </w:rPr>
        <w:t>.</w:t>
      </w:r>
      <w:r w:rsidRPr="00B7620F">
        <w:rPr>
          <w:spacing w:val="-4"/>
          <w:sz w:val="24"/>
          <w:szCs w:val="24"/>
        </w:rPr>
        <w:tab/>
      </w:r>
      <w:r w:rsidRPr="00B7620F">
        <w:rPr>
          <w:sz w:val="24"/>
          <w:szCs w:val="24"/>
        </w:rPr>
        <w:t xml:space="preserve">Статьи должны содержать результаты научных исследований, теоретические, практические и экспериментальные (инновационные) разработки, готовые для использования и являющиеся актуальными (востребованными) на современном этапе научного развития, либо представлять научно-познавательный интерес, соответствовать основным направлениям конференции. </w:t>
      </w:r>
    </w:p>
    <w:p w:rsidR="002E4F96" w:rsidRPr="00B7620F" w:rsidRDefault="002E4F96" w:rsidP="002E4F9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333B6">
        <w:rPr>
          <w:sz w:val="24"/>
          <w:szCs w:val="24"/>
        </w:rPr>
        <w:t>5.</w:t>
      </w:r>
      <w:r w:rsidRPr="00B7620F">
        <w:rPr>
          <w:sz w:val="24"/>
          <w:szCs w:val="24"/>
        </w:rPr>
        <w:tab/>
        <w:t>Заглавие статьи должно полностью отражать ее содержание; основной текст экспериментальных статей необходимо структурировать, используя подзаголовки соответствующих разделов: введение, объекты и методы, экспериментальная часть, результаты и их обсуждение, заключение или выводы.</w:t>
      </w:r>
    </w:p>
    <w:p w:rsidR="002E4F96" w:rsidRPr="00B7620F" w:rsidRDefault="002E4F96" w:rsidP="002E4F9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333B6">
        <w:rPr>
          <w:sz w:val="24"/>
          <w:szCs w:val="24"/>
        </w:rPr>
        <w:t>6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>Текст статьи необходимо снабдить краткой аннотацией (характеристикой основных положений и результатов), объемом до 5-6 строк печатного текста, 12 кегль, межстрочный интервал – 1,0.</w:t>
      </w:r>
    </w:p>
    <w:p w:rsidR="002E4F96" w:rsidRPr="00B7620F" w:rsidRDefault="002E4F96" w:rsidP="002E4F9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7.</w:t>
      </w:r>
      <w:r w:rsidRPr="00B7620F">
        <w:rPr>
          <w:sz w:val="24"/>
          <w:szCs w:val="24"/>
        </w:rPr>
        <w:tab/>
        <w:t>Библиографический аппарат статьи должен быть представлен нумерованным списком источников, расположенных по алфавиту и оформленных в соответствии с ГОСТ 7.05–2008. Ссылки по тексту оформляются в квадратных скобках с указанием номера источника.</w:t>
      </w:r>
    </w:p>
    <w:p w:rsidR="002E4F96" w:rsidRPr="00B7620F" w:rsidRDefault="002E4F96" w:rsidP="002E4F96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2E4F96" w:rsidRPr="00B7620F" w:rsidRDefault="002E4F96" w:rsidP="002E4F96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7620F">
        <w:rPr>
          <w:sz w:val="24"/>
          <w:szCs w:val="24"/>
        </w:rPr>
        <w:t>Пример оформления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>Для статьи: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  <w:lang w:val="en-US"/>
        </w:rPr>
      </w:pPr>
      <w:r w:rsidRPr="00B7620F">
        <w:rPr>
          <w:sz w:val="24"/>
          <w:szCs w:val="24"/>
        </w:rPr>
        <w:t xml:space="preserve">Алфимов Р.В., Золотухина Е.Б. Описание предметной области с использованием UML при разработке программных систем // КомпьютерПресс. 2001. </w:t>
      </w:r>
      <w:r w:rsidRPr="00B7620F">
        <w:rPr>
          <w:sz w:val="24"/>
          <w:szCs w:val="24"/>
          <w:lang w:val="en-US"/>
        </w:rPr>
        <w:t xml:space="preserve">№ 4. </w:t>
      </w:r>
      <w:r w:rsidRPr="00B7620F">
        <w:rPr>
          <w:sz w:val="24"/>
          <w:szCs w:val="24"/>
        </w:rPr>
        <w:t>С</w:t>
      </w:r>
      <w:r w:rsidRPr="00B7620F">
        <w:rPr>
          <w:sz w:val="24"/>
          <w:szCs w:val="24"/>
          <w:lang w:val="en-US"/>
        </w:rPr>
        <w:t>. 121</w:t>
      </w:r>
      <w:r>
        <w:rPr>
          <w:sz w:val="24"/>
          <w:szCs w:val="24"/>
          <w:lang w:val="en-US"/>
        </w:rPr>
        <w:t>-</w:t>
      </w:r>
      <w:r w:rsidRPr="00B7620F">
        <w:rPr>
          <w:sz w:val="24"/>
          <w:szCs w:val="24"/>
          <w:lang w:val="en-US"/>
        </w:rPr>
        <w:t>122. URL: uml2.ru/articles/18-modeling/17-domain-description-with-uml (</w:t>
      </w:r>
      <w:r w:rsidRPr="00B7620F">
        <w:rPr>
          <w:sz w:val="24"/>
          <w:szCs w:val="24"/>
        </w:rPr>
        <w:t>дата</w:t>
      </w:r>
      <w:r w:rsidRPr="00B7620F">
        <w:rPr>
          <w:sz w:val="24"/>
          <w:szCs w:val="24"/>
          <w:lang w:val="en-US"/>
        </w:rPr>
        <w:t xml:space="preserve"> </w:t>
      </w:r>
      <w:r w:rsidRPr="00B7620F">
        <w:rPr>
          <w:sz w:val="24"/>
          <w:szCs w:val="24"/>
        </w:rPr>
        <w:t>обращения</w:t>
      </w:r>
      <w:r w:rsidRPr="00B7620F">
        <w:rPr>
          <w:sz w:val="24"/>
          <w:szCs w:val="24"/>
          <w:lang w:val="en-US"/>
        </w:rPr>
        <w:t>: 16.10.2013).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  <w:lang w:val="en-US"/>
        </w:rPr>
      </w:pPr>
      <w:r w:rsidRPr="00B7620F">
        <w:rPr>
          <w:sz w:val="24"/>
          <w:szCs w:val="24"/>
        </w:rPr>
        <w:t xml:space="preserve">Кабанов А.А. Внутренние и внешние угрозы экономической безопасности предприятия // Вестник Санкт-Петербургского университета МВД России. </w:t>
      </w:r>
      <w:r w:rsidRPr="00B7620F">
        <w:rPr>
          <w:sz w:val="24"/>
          <w:szCs w:val="24"/>
          <w:lang w:val="en-US"/>
        </w:rPr>
        <w:t xml:space="preserve">2008. </w:t>
      </w:r>
      <w:r w:rsidRPr="00B7620F">
        <w:rPr>
          <w:sz w:val="24"/>
          <w:szCs w:val="24"/>
        </w:rPr>
        <w:t>Т</w:t>
      </w:r>
      <w:r w:rsidRPr="00B7620F">
        <w:rPr>
          <w:sz w:val="24"/>
          <w:szCs w:val="24"/>
          <w:lang w:val="en-US"/>
        </w:rPr>
        <w:t xml:space="preserve">. 3. № 1. </w:t>
      </w:r>
      <w:r w:rsidRPr="00B7620F">
        <w:rPr>
          <w:sz w:val="24"/>
          <w:szCs w:val="24"/>
        </w:rPr>
        <w:t>С</w:t>
      </w:r>
      <w:r w:rsidRPr="00B7620F">
        <w:rPr>
          <w:sz w:val="24"/>
          <w:szCs w:val="24"/>
          <w:lang w:val="en-US"/>
        </w:rPr>
        <w:t>. 121</w:t>
      </w:r>
      <w:r>
        <w:rPr>
          <w:sz w:val="24"/>
          <w:szCs w:val="24"/>
          <w:lang w:val="en-US"/>
        </w:rPr>
        <w:t>-</w:t>
      </w:r>
      <w:r w:rsidRPr="00B7620F">
        <w:rPr>
          <w:sz w:val="24"/>
          <w:szCs w:val="24"/>
          <w:lang w:val="en-US"/>
        </w:rPr>
        <w:t>122.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  <w:lang w:val="en-US"/>
        </w:rPr>
        <w:t>Pereira A.C., Romero F.</w:t>
      </w:r>
      <w:r w:rsidRPr="008A0EE8">
        <w:rPr>
          <w:sz w:val="24"/>
          <w:szCs w:val="24"/>
          <w:lang w:val="en-US"/>
        </w:rPr>
        <w:t xml:space="preserve"> </w:t>
      </w:r>
      <w:r w:rsidRPr="00B7620F">
        <w:rPr>
          <w:sz w:val="24"/>
          <w:szCs w:val="24"/>
          <w:lang w:val="en-US"/>
        </w:rPr>
        <w:t xml:space="preserve">A review of the meanings and the implications of the Industry 4.0 concept // Procedia Manufacturing. </w:t>
      </w:r>
      <w:r w:rsidRPr="00B7620F">
        <w:rPr>
          <w:sz w:val="24"/>
          <w:szCs w:val="24"/>
        </w:rPr>
        <w:t xml:space="preserve">2017. </w:t>
      </w:r>
      <w:r w:rsidRPr="00B7620F">
        <w:rPr>
          <w:sz w:val="24"/>
          <w:szCs w:val="24"/>
          <w:lang w:val="en-US"/>
        </w:rPr>
        <w:t>Vol</w:t>
      </w:r>
      <w:r w:rsidRPr="00B7620F">
        <w:rPr>
          <w:sz w:val="24"/>
          <w:szCs w:val="24"/>
        </w:rPr>
        <w:t xml:space="preserve">. 13.  </w:t>
      </w:r>
      <w:r w:rsidRPr="00B7620F">
        <w:rPr>
          <w:sz w:val="24"/>
          <w:szCs w:val="24"/>
          <w:lang w:val="en-US"/>
        </w:rPr>
        <w:t>No</w:t>
      </w:r>
      <w:r w:rsidRPr="00B7620F">
        <w:rPr>
          <w:sz w:val="24"/>
          <w:szCs w:val="24"/>
        </w:rPr>
        <w:t xml:space="preserve">. 4. </w:t>
      </w:r>
      <w:r w:rsidRPr="00B7620F">
        <w:rPr>
          <w:sz w:val="24"/>
          <w:szCs w:val="24"/>
          <w:lang w:val="en-US"/>
        </w:rPr>
        <w:t>P</w:t>
      </w:r>
      <w:r w:rsidRPr="00B7620F">
        <w:rPr>
          <w:sz w:val="24"/>
          <w:szCs w:val="24"/>
        </w:rPr>
        <w:t>. 1206-1214.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>Для книги: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 xml:space="preserve">Позднякова Ж.С., Алферова Л.В. Маркетинг территорий: учебное пособие. Челябинск: </w:t>
      </w:r>
      <w:proofErr w:type="spellStart"/>
      <w:r w:rsidRPr="00B7620F">
        <w:rPr>
          <w:sz w:val="24"/>
          <w:szCs w:val="24"/>
        </w:rPr>
        <w:t>ЮУИУиЭ</w:t>
      </w:r>
      <w:proofErr w:type="spellEnd"/>
      <w:r w:rsidRPr="00B7620F">
        <w:rPr>
          <w:sz w:val="24"/>
          <w:szCs w:val="24"/>
        </w:rPr>
        <w:t>, 2016. 300 с.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  <w:lang w:val="en-US"/>
        </w:rPr>
      </w:pPr>
      <w:r w:rsidRPr="00B7620F">
        <w:rPr>
          <w:sz w:val="24"/>
          <w:szCs w:val="24"/>
        </w:rPr>
        <w:t>Иванов И.И. Научная статья в сборнике конференции / Информационные технологии и системы: сборник трудов конференции. М</w:t>
      </w:r>
      <w:r w:rsidRPr="00B7620F">
        <w:rPr>
          <w:sz w:val="24"/>
          <w:szCs w:val="24"/>
          <w:lang w:val="en-US"/>
        </w:rPr>
        <w:t xml:space="preserve">.: </w:t>
      </w:r>
      <w:r w:rsidRPr="00B7620F">
        <w:rPr>
          <w:sz w:val="24"/>
          <w:szCs w:val="24"/>
        </w:rPr>
        <w:t>ИППИ</w:t>
      </w:r>
      <w:r w:rsidRPr="00B7620F">
        <w:rPr>
          <w:sz w:val="24"/>
          <w:szCs w:val="24"/>
          <w:lang w:val="en-US"/>
        </w:rPr>
        <w:t xml:space="preserve"> </w:t>
      </w:r>
      <w:r w:rsidRPr="00B7620F">
        <w:rPr>
          <w:sz w:val="24"/>
          <w:szCs w:val="24"/>
        </w:rPr>
        <w:t>РАН</w:t>
      </w:r>
      <w:r w:rsidRPr="00B7620F">
        <w:rPr>
          <w:sz w:val="24"/>
          <w:szCs w:val="24"/>
          <w:lang w:val="en-US"/>
        </w:rPr>
        <w:t xml:space="preserve">, 2008. 517 </w:t>
      </w:r>
      <w:r w:rsidRPr="00B7620F">
        <w:rPr>
          <w:sz w:val="24"/>
          <w:szCs w:val="24"/>
        </w:rPr>
        <w:t>с</w:t>
      </w:r>
      <w:r w:rsidRPr="00B7620F">
        <w:rPr>
          <w:sz w:val="24"/>
          <w:szCs w:val="24"/>
          <w:lang w:val="en-US"/>
        </w:rPr>
        <w:t xml:space="preserve">. </w:t>
      </w:r>
      <w:r w:rsidRPr="00B7620F">
        <w:rPr>
          <w:sz w:val="24"/>
          <w:szCs w:val="24"/>
        </w:rPr>
        <w:t>С</w:t>
      </w:r>
      <w:r w:rsidRPr="00B7620F">
        <w:rPr>
          <w:sz w:val="24"/>
          <w:szCs w:val="24"/>
          <w:lang w:val="en-US"/>
        </w:rPr>
        <w:t>. 17-18.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  <w:lang w:val="en-US"/>
        </w:rPr>
        <w:t>Walters C.J. Adaptive Management of Renewable Resources. New</w:t>
      </w:r>
      <w:r w:rsidRPr="00B7620F">
        <w:rPr>
          <w:sz w:val="24"/>
          <w:szCs w:val="24"/>
        </w:rPr>
        <w:t xml:space="preserve"> </w:t>
      </w:r>
      <w:r w:rsidRPr="00B7620F">
        <w:rPr>
          <w:sz w:val="24"/>
          <w:szCs w:val="24"/>
          <w:lang w:val="en-US"/>
        </w:rPr>
        <w:t>York</w:t>
      </w:r>
      <w:r w:rsidRPr="00B7620F">
        <w:rPr>
          <w:sz w:val="24"/>
          <w:szCs w:val="24"/>
        </w:rPr>
        <w:t xml:space="preserve">: </w:t>
      </w:r>
      <w:r w:rsidRPr="00B7620F">
        <w:rPr>
          <w:sz w:val="24"/>
          <w:szCs w:val="24"/>
          <w:lang w:val="en-US"/>
        </w:rPr>
        <w:t>Macmillan</w:t>
      </w:r>
      <w:r w:rsidRPr="00B7620F">
        <w:rPr>
          <w:sz w:val="24"/>
          <w:szCs w:val="24"/>
        </w:rPr>
        <w:t xml:space="preserve">, 1986. 374 </w:t>
      </w:r>
      <w:r w:rsidRPr="00B7620F">
        <w:rPr>
          <w:sz w:val="24"/>
          <w:szCs w:val="24"/>
          <w:lang w:val="en-US"/>
        </w:rPr>
        <w:t>p</w:t>
      </w:r>
      <w:r w:rsidRPr="00B7620F">
        <w:rPr>
          <w:sz w:val="24"/>
          <w:szCs w:val="24"/>
        </w:rPr>
        <w:t>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>Для источника в Интернет: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>В РСПП заявили, что проведение «регуляторной гильотины» может затянуться на многие годы / ТАСС. 2013. [Электронный ресурс]. URL: www.tass.ru/ekonomika/6208495 (дата обращения: 14.03.2019).</w:t>
      </w:r>
    </w:p>
    <w:p w:rsidR="002E4F96" w:rsidRPr="00B7620F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>Индикаторы цифровой экономики / НИУ ВШЭ. 2017. [Электронный ресурс]. URL: www.hse.ru/primarydata/ice2017 (дата обращения: 12.12.2018).</w:t>
      </w:r>
    </w:p>
    <w:p w:rsidR="002E4F96" w:rsidRPr="00D33230" w:rsidRDefault="002E4F96" w:rsidP="002E4F9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sz w:val="24"/>
          <w:szCs w:val="24"/>
        </w:rPr>
      </w:pPr>
      <w:r w:rsidRPr="00B7620F">
        <w:rPr>
          <w:sz w:val="24"/>
          <w:szCs w:val="24"/>
        </w:rPr>
        <w:t xml:space="preserve">Паутова Т. Как использовать открытые данные для общественного блага / Теплица социальных технологий. 2016. [Электронный ресурс]. </w:t>
      </w:r>
      <w:r w:rsidRPr="00B7620F">
        <w:rPr>
          <w:sz w:val="24"/>
          <w:szCs w:val="24"/>
          <w:lang w:val="en-US"/>
        </w:rPr>
        <w:t>URL</w:t>
      </w:r>
      <w:r w:rsidRPr="00D33230">
        <w:rPr>
          <w:sz w:val="24"/>
          <w:szCs w:val="24"/>
        </w:rPr>
        <w:t xml:space="preserve">: </w:t>
      </w:r>
      <w:proofErr w:type="spellStart"/>
      <w:r w:rsidRPr="00B7620F">
        <w:rPr>
          <w:sz w:val="24"/>
          <w:szCs w:val="24"/>
          <w:lang w:val="en-US"/>
        </w:rPr>
        <w:t>te</w:t>
      </w:r>
      <w:proofErr w:type="spellEnd"/>
      <w:r w:rsidRPr="00D33230">
        <w:rPr>
          <w:sz w:val="24"/>
          <w:szCs w:val="24"/>
        </w:rPr>
        <w:t>-</w:t>
      </w:r>
      <w:proofErr w:type="spellStart"/>
      <w:r w:rsidRPr="00B7620F">
        <w:rPr>
          <w:sz w:val="24"/>
          <w:szCs w:val="24"/>
          <w:lang w:val="en-US"/>
        </w:rPr>
        <w:t>st</w:t>
      </w:r>
      <w:proofErr w:type="spellEnd"/>
      <w:r w:rsidRPr="00D33230">
        <w:rPr>
          <w:sz w:val="24"/>
          <w:szCs w:val="24"/>
        </w:rPr>
        <w:t>.</w:t>
      </w:r>
      <w:proofErr w:type="spellStart"/>
      <w:r w:rsidRPr="00B7620F">
        <w:rPr>
          <w:sz w:val="24"/>
          <w:szCs w:val="24"/>
          <w:lang w:val="en-US"/>
        </w:rPr>
        <w:t>ru</w:t>
      </w:r>
      <w:proofErr w:type="spellEnd"/>
      <w:r w:rsidRPr="00D33230">
        <w:rPr>
          <w:sz w:val="24"/>
          <w:szCs w:val="24"/>
        </w:rPr>
        <w:t>/</w:t>
      </w:r>
      <w:r w:rsidRPr="00B7620F">
        <w:rPr>
          <w:sz w:val="24"/>
          <w:szCs w:val="24"/>
          <w:lang w:val="en-US"/>
        </w:rPr>
        <w:t>reports</w:t>
      </w:r>
      <w:r w:rsidRPr="00D33230">
        <w:rPr>
          <w:sz w:val="24"/>
          <w:szCs w:val="24"/>
        </w:rPr>
        <w:t>/</w:t>
      </w:r>
      <w:proofErr w:type="spellStart"/>
      <w:r w:rsidRPr="00B7620F">
        <w:rPr>
          <w:sz w:val="24"/>
          <w:szCs w:val="24"/>
          <w:lang w:val="en-US"/>
        </w:rPr>
        <w:t>opendata</w:t>
      </w:r>
      <w:proofErr w:type="spellEnd"/>
      <w:r w:rsidRPr="00D33230">
        <w:rPr>
          <w:sz w:val="24"/>
          <w:szCs w:val="24"/>
        </w:rPr>
        <w:t>-</w:t>
      </w:r>
      <w:proofErr w:type="spellStart"/>
      <w:r w:rsidRPr="00B7620F">
        <w:rPr>
          <w:sz w:val="24"/>
          <w:szCs w:val="24"/>
          <w:lang w:val="en-US"/>
        </w:rPr>
        <w:t>nn</w:t>
      </w:r>
      <w:proofErr w:type="spellEnd"/>
      <w:r w:rsidRPr="00D33230">
        <w:rPr>
          <w:sz w:val="24"/>
          <w:szCs w:val="24"/>
        </w:rPr>
        <w:t>-</w:t>
      </w:r>
      <w:r w:rsidRPr="00B7620F">
        <w:rPr>
          <w:sz w:val="24"/>
          <w:szCs w:val="24"/>
          <w:lang w:val="en-US"/>
        </w:rPr>
        <w:t>meetup</w:t>
      </w:r>
      <w:r w:rsidRPr="00D33230">
        <w:rPr>
          <w:sz w:val="24"/>
          <w:szCs w:val="24"/>
        </w:rPr>
        <w:t xml:space="preserve"> (</w:t>
      </w:r>
      <w:r w:rsidRPr="00B7620F">
        <w:rPr>
          <w:sz w:val="24"/>
          <w:szCs w:val="24"/>
        </w:rPr>
        <w:t>дата</w:t>
      </w:r>
      <w:r w:rsidRPr="00D33230">
        <w:rPr>
          <w:sz w:val="24"/>
          <w:szCs w:val="24"/>
        </w:rPr>
        <w:t xml:space="preserve"> </w:t>
      </w:r>
      <w:r w:rsidRPr="00B7620F">
        <w:rPr>
          <w:sz w:val="24"/>
          <w:szCs w:val="24"/>
        </w:rPr>
        <w:t>обращения</w:t>
      </w:r>
      <w:r w:rsidRPr="00D33230">
        <w:rPr>
          <w:sz w:val="24"/>
          <w:szCs w:val="24"/>
        </w:rPr>
        <w:t>: 12.12.2018).</w:t>
      </w:r>
    </w:p>
    <w:p w:rsidR="002E4F96" w:rsidRPr="00B7620F" w:rsidRDefault="002E4F96" w:rsidP="002E4F9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У электронных источников, имеющих автора – его указание обязательно. Недопустимо указывать электронную ссылку только на доменное имя сайта, если существует прямая ссылка на упомянутый материал.</w:t>
      </w:r>
    </w:p>
    <w:p w:rsidR="002E4F96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z w:val="24"/>
          <w:szCs w:val="24"/>
        </w:rPr>
      </w:pPr>
    </w:p>
    <w:p w:rsidR="002E4F96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z w:val="24"/>
          <w:szCs w:val="24"/>
        </w:rPr>
      </w:pPr>
      <w:r w:rsidRPr="00B7620F">
        <w:rPr>
          <w:rFonts w:eastAsia="Calibri"/>
          <w:sz w:val="24"/>
          <w:szCs w:val="24"/>
        </w:rPr>
        <w:lastRenderedPageBreak/>
        <w:t>8.</w:t>
      </w:r>
      <w:r w:rsidRPr="00B7620F">
        <w:rPr>
          <w:rFonts w:eastAsia="Calibri"/>
          <w:sz w:val="24"/>
          <w:szCs w:val="24"/>
        </w:rPr>
        <w:tab/>
      </w:r>
      <w:r w:rsidRPr="00B7620F">
        <w:rPr>
          <w:sz w:val="24"/>
          <w:szCs w:val="24"/>
        </w:rPr>
        <w:t xml:space="preserve">Заглавие </w:t>
      </w:r>
      <w:r w:rsidRPr="00B7620F">
        <w:rPr>
          <w:rFonts w:eastAsia="Calibri"/>
          <w:sz w:val="24"/>
          <w:szCs w:val="24"/>
        </w:rPr>
        <w:t xml:space="preserve">статьи печатается без отступа сверху, прописными (заглавными) буквами полужирным прямым шрифтом, без подчеркивания, кегль 14 (перенос слов в заглавии не допускается). 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z w:val="24"/>
          <w:szCs w:val="24"/>
        </w:rPr>
      </w:pPr>
      <w:r w:rsidRPr="005333B6">
        <w:rPr>
          <w:rFonts w:eastAsia="Calibri"/>
          <w:sz w:val="24"/>
          <w:szCs w:val="24"/>
        </w:rPr>
        <w:t>9.</w:t>
      </w:r>
      <w:r>
        <w:rPr>
          <w:rFonts w:eastAsia="Calibri"/>
          <w:sz w:val="24"/>
          <w:szCs w:val="24"/>
        </w:rPr>
        <w:tab/>
      </w:r>
      <w:r w:rsidRPr="00B7620F">
        <w:rPr>
          <w:rFonts w:eastAsia="Calibri"/>
          <w:sz w:val="24"/>
          <w:szCs w:val="24"/>
        </w:rPr>
        <w:t>После заглавия (пропуск одной строки) печатается фамилия и инициалы авторов. На следующей строке помещается информация:</w:t>
      </w:r>
    </w:p>
    <w:p w:rsidR="002E4F96" w:rsidRPr="00B7620F" w:rsidRDefault="002E4F96" w:rsidP="002E4F96">
      <w:pPr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eastAsia="Calibri"/>
          <w:sz w:val="24"/>
          <w:szCs w:val="24"/>
        </w:rPr>
      </w:pPr>
      <w:r w:rsidRPr="00B7620F">
        <w:rPr>
          <w:rFonts w:eastAsia="Calibri"/>
          <w:sz w:val="24"/>
          <w:szCs w:val="24"/>
        </w:rPr>
        <w:t>для преподавателей и специалистов: ученая степень и звание (если есть) и должность, место работы (полностью без сокращений);</w:t>
      </w:r>
    </w:p>
    <w:p w:rsidR="002E4F96" w:rsidRPr="00B7620F" w:rsidRDefault="002E4F96" w:rsidP="002E4F96">
      <w:pPr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eastAsia="Calibri"/>
          <w:sz w:val="24"/>
          <w:szCs w:val="24"/>
        </w:rPr>
      </w:pPr>
      <w:r w:rsidRPr="00B7620F">
        <w:rPr>
          <w:rFonts w:eastAsia="Calibri"/>
          <w:sz w:val="24"/>
          <w:szCs w:val="24"/>
        </w:rPr>
        <w:t>для аспирантов: указывается «аспирант» и название высшего учебного заведения (полностью без сокращений).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5333B6">
        <w:rPr>
          <w:sz w:val="24"/>
          <w:szCs w:val="24"/>
        </w:rPr>
        <w:t>10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>Между информационным блоком и следующим ниже основным текстом статьи делается пропуск – одна строка.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spacing w:val="-6"/>
          <w:sz w:val="24"/>
          <w:szCs w:val="24"/>
        </w:rPr>
        <w:t>1</w:t>
      </w:r>
      <w:r w:rsidRPr="005333B6">
        <w:rPr>
          <w:rFonts w:eastAsia="Calibri"/>
          <w:spacing w:val="-6"/>
          <w:sz w:val="24"/>
          <w:szCs w:val="24"/>
        </w:rPr>
        <w:t>1</w:t>
      </w:r>
      <w:r w:rsidRPr="00B7620F">
        <w:rPr>
          <w:rFonts w:eastAsia="Calibri"/>
          <w:spacing w:val="-6"/>
          <w:sz w:val="24"/>
          <w:szCs w:val="24"/>
        </w:rPr>
        <w:t>.</w:t>
      </w:r>
      <w:r w:rsidRPr="00B7620F">
        <w:rPr>
          <w:rFonts w:eastAsia="Calibri"/>
          <w:spacing w:val="-6"/>
          <w:sz w:val="24"/>
          <w:szCs w:val="24"/>
        </w:rPr>
        <w:tab/>
        <w:t>Графический материал располагается непосредственно после текста, в котором о нем упоминается впервые, или на следующей странице. Любой графический материал (чертеж, схема, диаграмма и т.д.) обозначают в статье словом «Рис.». Рисунки нумеруются арабскими цифрами, сквозной нумерацией, затем приводится его тематическое наименование.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spacing w:val="-4"/>
          <w:sz w:val="24"/>
          <w:szCs w:val="24"/>
        </w:rPr>
        <w:t>1</w:t>
      </w:r>
      <w:r w:rsidRPr="005333B6">
        <w:rPr>
          <w:rFonts w:eastAsia="Calibri"/>
          <w:spacing w:val="-4"/>
          <w:sz w:val="24"/>
          <w:szCs w:val="24"/>
        </w:rPr>
        <w:t>2</w:t>
      </w:r>
      <w:r w:rsidRPr="00B7620F">
        <w:rPr>
          <w:rFonts w:eastAsia="Calibri"/>
          <w:spacing w:val="-4"/>
          <w:sz w:val="24"/>
          <w:szCs w:val="24"/>
        </w:rPr>
        <w:t>.</w:t>
      </w:r>
      <w:r w:rsidRPr="00B7620F">
        <w:rPr>
          <w:rFonts w:eastAsia="Calibri"/>
          <w:spacing w:val="-4"/>
          <w:sz w:val="24"/>
          <w:szCs w:val="24"/>
        </w:rPr>
        <w:tab/>
      </w:r>
      <w:r w:rsidRPr="00B7620F">
        <w:rPr>
          <w:rFonts w:eastAsia="Calibri"/>
          <w:bCs/>
          <w:spacing w:val="-4"/>
          <w:sz w:val="24"/>
          <w:szCs w:val="24"/>
        </w:rPr>
        <w:t>Таблицы</w:t>
      </w:r>
      <w:r w:rsidRPr="00B7620F">
        <w:rPr>
          <w:rFonts w:eastAsia="Calibri"/>
          <w:spacing w:val="-4"/>
          <w:sz w:val="24"/>
          <w:szCs w:val="24"/>
        </w:rPr>
        <w:t xml:space="preserve"> следует делать в режиме таблиц (добавить таблицу). Ссылка на таблицы в тексте обязательна. Каждая таблица должна иметь нумерационный и тематический заголовок. Таблицу следует набирать 12 кеглем. Заголовочная часть не должна содержать пустот. Ширина таблицы не должна быть больше полосы набора текста. 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pacing w:val="-6"/>
          <w:sz w:val="24"/>
          <w:szCs w:val="24"/>
        </w:rPr>
      </w:pPr>
      <w:r w:rsidRPr="00B7620F">
        <w:rPr>
          <w:spacing w:val="-6"/>
          <w:sz w:val="24"/>
          <w:szCs w:val="24"/>
        </w:rPr>
        <w:t>1</w:t>
      </w:r>
      <w:r w:rsidRPr="005333B6">
        <w:rPr>
          <w:spacing w:val="-6"/>
          <w:sz w:val="24"/>
          <w:szCs w:val="24"/>
        </w:rPr>
        <w:t>3</w:t>
      </w:r>
      <w:r w:rsidRPr="00B7620F">
        <w:rPr>
          <w:spacing w:val="-6"/>
          <w:sz w:val="24"/>
          <w:szCs w:val="24"/>
        </w:rPr>
        <w:t>.</w:t>
      </w:r>
      <w:r w:rsidRPr="00B7620F">
        <w:rPr>
          <w:spacing w:val="-6"/>
          <w:sz w:val="24"/>
          <w:szCs w:val="24"/>
        </w:rPr>
        <w:tab/>
      </w:r>
      <w:r w:rsidRPr="00B7620F">
        <w:rPr>
          <w:sz w:val="24"/>
          <w:szCs w:val="24"/>
        </w:rPr>
        <w:t xml:space="preserve">Формулы выполняются с помощью встроенного в </w:t>
      </w:r>
      <w:proofErr w:type="spellStart"/>
      <w:r w:rsidRPr="00B7620F">
        <w:rPr>
          <w:sz w:val="24"/>
          <w:szCs w:val="24"/>
        </w:rPr>
        <w:t>Microsoft</w:t>
      </w:r>
      <w:proofErr w:type="spellEnd"/>
      <w:r w:rsidRPr="00B7620F">
        <w:rPr>
          <w:sz w:val="24"/>
          <w:szCs w:val="24"/>
        </w:rPr>
        <w:t xml:space="preserve"> </w:t>
      </w:r>
      <w:proofErr w:type="spellStart"/>
      <w:r w:rsidRPr="00B7620F">
        <w:rPr>
          <w:sz w:val="24"/>
          <w:szCs w:val="24"/>
        </w:rPr>
        <w:t>Word</w:t>
      </w:r>
      <w:proofErr w:type="spellEnd"/>
      <w:r w:rsidRPr="00B7620F">
        <w:rPr>
          <w:sz w:val="24"/>
          <w:szCs w:val="24"/>
        </w:rPr>
        <w:t xml:space="preserve"> редактора формул </w:t>
      </w:r>
      <w:proofErr w:type="spellStart"/>
      <w:r w:rsidRPr="00B7620F">
        <w:rPr>
          <w:sz w:val="24"/>
          <w:szCs w:val="24"/>
        </w:rPr>
        <w:t>Equation</w:t>
      </w:r>
      <w:proofErr w:type="spellEnd"/>
      <w:r w:rsidRPr="00B7620F">
        <w:rPr>
          <w:sz w:val="24"/>
          <w:szCs w:val="24"/>
        </w:rPr>
        <w:t xml:space="preserve">. </w:t>
      </w:r>
      <w:r w:rsidRPr="00B7620F">
        <w:rPr>
          <w:spacing w:val="-6"/>
          <w:sz w:val="24"/>
          <w:szCs w:val="24"/>
        </w:rPr>
        <w:t>Формулы должны иметь сквозную нумерацию арабскими цифрами. Номер формулы записывают в круглые скобки на одном уровне с ней, в правой части страницы. Если в тексте одна формула, она не нумеруется.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right="167" w:firstLine="567"/>
        <w:jc w:val="both"/>
        <w:rPr>
          <w:rFonts w:eastAsia="Calibri"/>
          <w:spacing w:val="-6"/>
          <w:sz w:val="24"/>
          <w:szCs w:val="24"/>
        </w:rPr>
      </w:pPr>
      <w:r w:rsidRPr="00B7620F">
        <w:rPr>
          <w:rFonts w:eastAsia="Calibri"/>
          <w:spacing w:val="-6"/>
          <w:sz w:val="24"/>
          <w:szCs w:val="24"/>
        </w:rPr>
        <w:t xml:space="preserve">Пояснения символов и числовых коэффициентов, входящих в формулу, приводят непосредственно под формулой. Первую строку пояснения начинают со слова «где». 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1</w:t>
      </w:r>
      <w:r w:rsidRPr="005333B6">
        <w:rPr>
          <w:sz w:val="24"/>
          <w:szCs w:val="24"/>
        </w:rPr>
        <w:t>4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>Сокращения слов внутри текста производятся только согласно ГОСТ 8.417-2002 или «Словарю сокращений русского языка». Например,</w:t>
      </w: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2138"/>
        <w:gridCol w:w="1987"/>
      </w:tblGrid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Обозначение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метр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м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килограмм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кг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секунда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с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год/годы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г./гг.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век/века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в./вв.</w:t>
            </w:r>
          </w:p>
        </w:tc>
      </w:tr>
      <w:tr w:rsidR="002E4F96" w:rsidRPr="00B7620F" w:rsidTr="001E7EA1">
        <w:tc>
          <w:tcPr>
            <w:tcW w:w="1715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город</w:t>
            </w:r>
          </w:p>
        </w:tc>
        <w:tc>
          <w:tcPr>
            <w:tcW w:w="1560" w:type="dxa"/>
          </w:tcPr>
          <w:p w:rsidR="002E4F96" w:rsidRPr="00B7620F" w:rsidRDefault="002E4F96" w:rsidP="001E7EA1">
            <w:pPr>
              <w:tabs>
                <w:tab w:val="left" w:pos="1134"/>
                <w:tab w:val="left" w:pos="1418"/>
              </w:tabs>
              <w:ind w:firstLine="567"/>
              <w:rPr>
                <w:sz w:val="24"/>
                <w:szCs w:val="24"/>
              </w:rPr>
            </w:pPr>
            <w:r w:rsidRPr="00B7620F">
              <w:rPr>
                <w:sz w:val="24"/>
                <w:szCs w:val="24"/>
              </w:rPr>
              <w:t>г.</w:t>
            </w:r>
          </w:p>
        </w:tc>
      </w:tr>
    </w:tbl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1</w:t>
      </w:r>
      <w:r w:rsidRPr="005333B6">
        <w:rPr>
          <w:sz w:val="24"/>
          <w:szCs w:val="24"/>
        </w:rPr>
        <w:t>5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 xml:space="preserve">Авторы несут ответственность за подбор и достоверность приведенных фактов, цитат, статических и социологических данных, имен собственных, географических названий и прочих сведений. Редакционно-издательский отдел оставляет за собой право внесения редакторской правки. 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1</w:t>
      </w:r>
      <w:r w:rsidRPr="005333B6">
        <w:rPr>
          <w:sz w:val="24"/>
          <w:szCs w:val="24"/>
        </w:rPr>
        <w:t>6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 xml:space="preserve">Материалы, представленные с нарушением требований, не принимаются к публикации. </w:t>
      </w:r>
    </w:p>
    <w:p w:rsidR="002E4F96" w:rsidRPr="00B7620F" w:rsidRDefault="002E4F96" w:rsidP="002E4F96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B7620F">
        <w:rPr>
          <w:sz w:val="24"/>
          <w:szCs w:val="24"/>
        </w:rPr>
        <w:t>1</w:t>
      </w:r>
      <w:r w:rsidRPr="005333B6">
        <w:rPr>
          <w:sz w:val="24"/>
          <w:szCs w:val="24"/>
        </w:rPr>
        <w:t>7</w:t>
      </w:r>
      <w:r w:rsidRPr="00B7620F">
        <w:rPr>
          <w:sz w:val="24"/>
          <w:szCs w:val="24"/>
        </w:rPr>
        <w:t>.</w:t>
      </w:r>
      <w:r w:rsidRPr="00B7620F">
        <w:rPr>
          <w:sz w:val="24"/>
          <w:szCs w:val="24"/>
        </w:rPr>
        <w:tab/>
        <w:t>Оргкомитет оставляет за собой право отклонить статьи, не соответствующие тематике, требованиям к оформлению или уровню конференции.</w:t>
      </w:r>
    </w:p>
    <w:p w:rsidR="002E4F96" w:rsidRPr="00B7620F" w:rsidRDefault="002E4F96" w:rsidP="002E4F96">
      <w:pPr>
        <w:tabs>
          <w:tab w:val="left" w:pos="1134"/>
        </w:tabs>
        <w:ind w:right="167" w:firstLine="567"/>
        <w:jc w:val="both"/>
        <w:rPr>
          <w:rFonts w:eastAsia="Calibri"/>
          <w:b/>
          <w:spacing w:val="-4"/>
          <w:sz w:val="24"/>
          <w:szCs w:val="24"/>
        </w:rPr>
      </w:pPr>
    </w:p>
    <w:p w:rsidR="002E4F96" w:rsidRPr="00B7620F" w:rsidRDefault="002E4F96" w:rsidP="002E4F96">
      <w:pPr>
        <w:tabs>
          <w:tab w:val="left" w:pos="1134"/>
        </w:tabs>
        <w:ind w:right="167" w:firstLine="567"/>
        <w:jc w:val="both"/>
        <w:rPr>
          <w:rFonts w:eastAsia="Calibri"/>
          <w:b/>
          <w:spacing w:val="-4"/>
          <w:sz w:val="24"/>
          <w:szCs w:val="24"/>
        </w:rPr>
      </w:pPr>
      <w:r w:rsidRPr="00B7620F">
        <w:rPr>
          <w:rFonts w:eastAsia="Calibri"/>
          <w:b/>
          <w:spacing w:val="-4"/>
          <w:sz w:val="24"/>
          <w:szCs w:val="24"/>
        </w:rPr>
        <w:t>Некоторые особенности набора текстового материала:</w:t>
      </w:r>
    </w:p>
    <w:p w:rsidR="002E4F96" w:rsidRPr="00B7620F" w:rsidRDefault="002E4F96" w:rsidP="002E4F9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spacing w:val="-4"/>
          <w:sz w:val="24"/>
          <w:szCs w:val="24"/>
        </w:rPr>
        <w:t xml:space="preserve">при выборе </w:t>
      </w:r>
      <w:r w:rsidRPr="00B7620F">
        <w:rPr>
          <w:rFonts w:eastAsia="Calibri"/>
          <w:b/>
          <w:i/>
          <w:spacing w:val="-4"/>
          <w:sz w:val="24"/>
          <w:szCs w:val="24"/>
        </w:rPr>
        <w:t>кавычек</w:t>
      </w:r>
      <w:r w:rsidRPr="00B7620F">
        <w:rPr>
          <w:rFonts w:eastAsia="Calibri"/>
          <w:spacing w:val="-4"/>
          <w:sz w:val="24"/>
          <w:szCs w:val="24"/>
        </w:rPr>
        <w:t xml:space="preserve"> следует использовать такие знаки «…»;</w:t>
      </w:r>
    </w:p>
    <w:p w:rsidR="002E4F96" w:rsidRPr="00B7620F" w:rsidRDefault="002E4F96" w:rsidP="002E4F9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b/>
          <w:i/>
          <w:spacing w:val="-4"/>
          <w:sz w:val="24"/>
          <w:szCs w:val="24"/>
        </w:rPr>
        <w:t>дефис «-»</w:t>
      </w:r>
      <w:r w:rsidRPr="00B7620F">
        <w:rPr>
          <w:rFonts w:eastAsia="Calibri"/>
          <w:spacing w:val="-4"/>
          <w:sz w:val="24"/>
          <w:szCs w:val="24"/>
        </w:rPr>
        <w:t>, имеющийся на клавиатуре, используется только при написании сложных слов;</w:t>
      </w:r>
    </w:p>
    <w:p w:rsidR="002E4F96" w:rsidRPr="00B7620F" w:rsidRDefault="002E4F96" w:rsidP="002E4F9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pacing w:val="-4"/>
          <w:sz w:val="24"/>
          <w:szCs w:val="24"/>
        </w:rPr>
      </w:pPr>
      <w:r w:rsidRPr="00B7620F">
        <w:rPr>
          <w:rFonts w:eastAsia="Calibri"/>
          <w:b/>
          <w:i/>
          <w:spacing w:val="-4"/>
          <w:sz w:val="24"/>
          <w:szCs w:val="24"/>
        </w:rPr>
        <w:t>короткое тире</w:t>
      </w:r>
      <w:r w:rsidRPr="00B7620F">
        <w:rPr>
          <w:rFonts w:eastAsia="Calibri"/>
          <w:spacing w:val="-4"/>
          <w:sz w:val="24"/>
          <w:szCs w:val="24"/>
        </w:rPr>
        <w:t xml:space="preserve"> «</w:t>
      </w:r>
      <w:r w:rsidRPr="00B7620F">
        <w:rPr>
          <w:rFonts w:eastAsia="Calibri"/>
          <w:spacing w:val="-6"/>
          <w:sz w:val="24"/>
          <w:szCs w:val="24"/>
        </w:rPr>
        <w:t>–</w:t>
      </w:r>
      <w:r w:rsidRPr="00B7620F">
        <w:rPr>
          <w:rFonts w:eastAsia="Calibri"/>
          <w:spacing w:val="-4"/>
          <w:sz w:val="24"/>
          <w:szCs w:val="24"/>
        </w:rPr>
        <w:t>» используется при указании границ диапазона, не отбивается пробелами;</w:t>
      </w:r>
    </w:p>
    <w:p w:rsidR="002E4F96" w:rsidRDefault="002E4F96" w:rsidP="002E4F9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pacing w:val="-4"/>
          <w:sz w:val="24"/>
          <w:szCs w:val="24"/>
        </w:rPr>
        <w:sectPr w:rsidR="002E4F96" w:rsidSect="00D930B6">
          <w:pgSz w:w="11906" w:h="16838" w:code="9"/>
          <w:pgMar w:top="567" w:right="851" w:bottom="1134" w:left="1134" w:header="709" w:footer="0" w:gutter="0"/>
          <w:cols w:space="708"/>
          <w:titlePg/>
          <w:docGrid w:linePitch="381"/>
        </w:sectPr>
      </w:pPr>
      <w:r w:rsidRPr="00B7620F">
        <w:rPr>
          <w:rFonts w:eastAsia="Calibri"/>
          <w:b/>
          <w:i/>
          <w:spacing w:val="-4"/>
          <w:sz w:val="24"/>
          <w:szCs w:val="24"/>
        </w:rPr>
        <w:t>длинное тире</w:t>
      </w:r>
      <w:r w:rsidRPr="00B7620F">
        <w:rPr>
          <w:rFonts w:eastAsia="Calibri"/>
          <w:spacing w:val="-4"/>
          <w:sz w:val="24"/>
          <w:szCs w:val="24"/>
        </w:rPr>
        <w:t xml:space="preserve"> «─» используется во всех остальных случаях и отбивается пробелами с двух сторон.</w:t>
      </w:r>
    </w:p>
    <w:p w:rsidR="002E4F96" w:rsidRPr="00B7620F" w:rsidRDefault="002E4F96" w:rsidP="002E4F96">
      <w:pPr>
        <w:ind w:left="709"/>
        <w:jc w:val="both"/>
        <w:rPr>
          <w:rFonts w:eastAsia="Calibri"/>
          <w:spacing w:val="-4"/>
          <w:sz w:val="24"/>
          <w:szCs w:val="24"/>
        </w:rPr>
      </w:pPr>
    </w:p>
    <w:p w:rsidR="002E4F96" w:rsidRPr="00B7620F" w:rsidRDefault="002E4F96" w:rsidP="002E4F96">
      <w:pPr>
        <w:rPr>
          <w:noProof/>
        </w:rPr>
      </w:pPr>
    </w:p>
    <w:p w:rsidR="002E4F96" w:rsidRPr="00B7620F" w:rsidRDefault="002E4F96" w:rsidP="002E4F96">
      <w:pPr>
        <w:spacing w:line="312" w:lineRule="auto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-491490</wp:posOffset>
                </wp:positionV>
                <wp:extent cx="1057275" cy="29591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96" w:rsidRPr="004737D4" w:rsidRDefault="002E4F96" w:rsidP="002E4F96">
                            <w:pPr>
                              <w:rPr>
                                <w:i/>
                              </w:rPr>
                            </w:pPr>
                            <w:r w:rsidRPr="004737D4">
                              <w:rPr>
                                <w:i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2.05pt;margin-top:-38.7pt;width:83.25pt;height:23.3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" filled="f" stroked="f">
                <v:textbox style="mso-fit-shape-to-text:t">
                  <w:txbxContent>
                    <w:p w:rsidR="002E4F96" w:rsidRPr="004737D4" w:rsidRDefault="002E4F96" w:rsidP="002E4F96">
                      <w:pPr>
                        <w:rPr>
                          <w:i/>
                        </w:rPr>
                      </w:pPr>
                      <w:r w:rsidRPr="004737D4">
                        <w:rPr>
                          <w:i/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20F">
        <w:rPr>
          <w:b/>
        </w:rPr>
        <w:t>АНАЛИЗ ОСОБЕННОСТЕЙ ВЫПОЛНЕНИЯ НАЦИОНАЛЬНЫХ ПРОЕКТОВ В УСЛОВИЯХ СЕВЕРНОГО МАКРОРЕГИОНА</w:t>
      </w:r>
    </w:p>
    <w:p w:rsidR="002E4F96" w:rsidRPr="00B7620F" w:rsidRDefault="002E4F96" w:rsidP="002E4F96">
      <w:pPr>
        <w:spacing w:line="312" w:lineRule="auto"/>
        <w:contextualSpacing/>
        <w:jc w:val="both"/>
        <w:rPr>
          <w:b/>
        </w:rPr>
      </w:pPr>
    </w:p>
    <w:p w:rsidR="002E4F96" w:rsidRPr="00B7620F" w:rsidRDefault="002E4F96" w:rsidP="002E4F96">
      <w:pPr>
        <w:spacing w:line="312" w:lineRule="auto"/>
        <w:ind w:firstLine="709"/>
        <w:contextualSpacing/>
        <w:jc w:val="both"/>
        <w:rPr>
          <w:i/>
        </w:rPr>
      </w:pPr>
      <w:r w:rsidRPr="00B7620F">
        <w:rPr>
          <w:i/>
        </w:rPr>
        <w:t>Чижова Л.А. – к.э.н., доцент, ведущий научный сотрудник, ФГБУН «Федеральный исследовательский центр комплексного изучения Арктики имени академика Н.П. Лавёрова Российской академии наук»</w:t>
      </w:r>
    </w:p>
    <w:p w:rsidR="002E4F96" w:rsidRPr="00B7620F" w:rsidRDefault="002E4F96" w:rsidP="002E4F96">
      <w:pPr>
        <w:spacing w:line="312" w:lineRule="auto"/>
        <w:contextualSpacing/>
        <w:jc w:val="center"/>
        <w:rPr>
          <w:b/>
          <w:sz w:val="24"/>
          <w:szCs w:val="24"/>
        </w:rPr>
      </w:pPr>
    </w:p>
    <w:p w:rsidR="002E4F96" w:rsidRPr="00B7620F" w:rsidRDefault="002E4F96" w:rsidP="002E4F96">
      <w:pPr>
        <w:contextualSpacing/>
        <w:jc w:val="center"/>
        <w:rPr>
          <w:sz w:val="24"/>
          <w:szCs w:val="24"/>
        </w:rPr>
      </w:pPr>
      <w:r w:rsidRPr="00B7620F">
        <w:rPr>
          <w:b/>
          <w:sz w:val="24"/>
          <w:szCs w:val="24"/>
        </w:rPr>
        <w:t>Аннотация</w:t>
      </w:r>
    </w:p>
    <w:p w:rsidR="002E4F96" w:rsidRPr="00B7620F" w:rsidRDefault="002E4F96" w:rsidP="002E4F96">
      <w:pPr>
        <w:ind w:firstLine="709"/>
        <w:contextualSpacing/>
        <w:jc w:val="both"/>
        <w:rPr>
          <w:sz w:val="24"/>
          <w:szCs w:val="24"/>
        </w:rPr>
      </w:pPr>
      <w:r w:rsidRPr="00B7620F">
        <w:rPr>
          <w:sz w:val="24"/>
          <w:szCs w:val="24"/>
        </w:rPr>
        <w:t xml:space="preserve">В статье рассматриваются ключевые задачи национальных проектов, направленных на комплексное развитие РФ. Отдельное внимание авторы уделяют вопросам финансирования данных проектов, а также проблемам и угрозам их реализации в условиях Северного макрорегиона. </w:t>
      </w:r>
    </w:p>
    <w:p w:rsidR="002E4F96" w:rsidRPr="00B7620F" w:rsidRDefault="002E4F96" w:rsidP="002E4F96">
      <w:pPr>
        <w:spacing w:line="312" w:lineRule="auto"/>
        <w:contextualSpacing/>
        <w:jc w:val="both"/>
        <w:rPr>
          <w:sz w:val="24"/>
          <w:szCs w:val="24"/>
        </w:rPr>
      </w:pPr>
    </w:p>
    <w:p w:rsidR="002E4F96" w:rsidRPr="00B7620F" w:rsidRDefault="002E4F96" w:rsidP="002E4F96">
      <w:pPr>
        <w:spacing w:line="312" w:lineRule="auto"/>
        <w:ind w:firstLine="720"/>
        <w:contextualSpacing/>
        <w:jc w:val="both"/>
        <w:rPr>
          <w:shd w:val="clear" w:color="auto" w:fill="FFFFFF"/>
        </w:rPr>
      </w:pPr>
      <w:r w:rsidRPr="00B7620F">
        <w:rPr>
          <w:shd w:val="clear" w:color="auto" w:fill="FFFFFF"/>
        </w:rPr>
        <w:t>В декабре 2018 г. Правительством РФ была завершена работа (рис. 1) над национальными проектами, направляемыми на комплексное развитие России до 2024 г (табл. 1) [2].</w:t>
      </w:r>
    </w:p>
    <w:p w:rsidR="002E4F96" w:rsidRPr="00B7620F" w:rsidRDefault="002E4F96" w:rsidP="002E4F96">
      <w:pPr>
        <w:spacing w:line="312" w:lineRule="auto"/>
        <w:ind w:firstLine="709"/>
        <w:contextualSpacing/>
        <w:jc w:val="right"/>
        <w:rPr>
          <w:shd w:val="clear" w:color="auto" w:fill="FFFFFF"/>
        </w:rPr>
      </w:pPr>
      <w:r w:rsidRPr="00B7620F">
        <w:rPr>
          <w:shd w:val="clear" w:color="auto" w:fill="FFFFFF"/>
        </w:rPr>
        <w:t>Табл. 1</w:t>
      </w:r>
    </w:p>
    <w:p w:rsidR="002E4F96" w:rsidRPr="00B7620F" w:rsidRDefault="002E4F96" w:rsidP="002E4F96">
      <w:pPr>
        <w:spacing w:line="312" w:lineRule="auto"/>
        <w:ind w:firstLine="709"/>
        <w:contextualSpacing/>
        <w:jc w:val="center"/>
        <w:rPr>
          <w:shd w:val="clear" w:color="auto" w:fill="FFFFFF"/>
        </w:rPr>
      </w:pPr>
      <w:r w:rsidRPr="00B7620F">
        <w:rPr>
          <w:shd w:val="clear" w:color="auto" w:fill="FFFFFF"/>
        </w:rPr>
        <w:t>Краткая характеристика национальных проектов РФ, направленных на комплексное развитие России до 2024 года [1].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2E4F96" w:rsidRPr="00B7620F" w:rsidTr="001E7EA1">
        <w:tc>
          <w:tcPr>
            <w:tcW w:w="2547" w:type="dxa"/>
            <w:shd w:val="clear" w:color="auto" w:fill="auto"/>
          </w:tcPr>
          <w:p w:rsidR="002E4F96" w:rsidRPr="00B7620F" w:rsidRDefault="002E4F96" w:rsidP="001E7EA1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Наименование национального проекта</w:t>
            </w:r>
          </w:p>
        </w:tc>
        <w:tc>
          <w:tcPr>
            <w:tcW w:w="5386" w:type="dxa"/>
            <w:shd w:val="clear" w:color="auto" w:fill="auto"/>
          </w:tcPr>
          <w:p w:rsidR="002E4F96" w:rsidRPr="00B7620F" w:rsidRDefault="002E4F96" w:rsidP="001E7EA1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Краткая характеристика целей</w:t>
            </w:r>
          </w:p>
        </w:tc>
        <w:tc>
          <w:tcPr>
            <w:tcW w:w="1701" w:type="dxa"/>
            <w:shd w:val="clear" w:color="auto" w:fill="auto"/>
          </w:tcPr>
          <w:p w:rsidR="002E4F96" w:rsidRPr="00B7620F" w:rsidRDefault="002E4F96" w:rsidP="001E7EA1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Сумма инвестиций, млрд руб.</w:t>
            </w:r>
          </w:p>
        </w:tc>
      </w:tr>
      <w:tr w:rsidR="002E4F96" w:rsidRPr="00B7620F" w:rsidTr="001E7EA1">
        <w:tc>
          <w:tcPr>
            <w:tcW w:w="2547" w:type="dxa"/>
            <w:shd w:val="clear" w:color="auto" w:fill="auto"/>
          </w:tcPr>
          <w:p w:rsidR="002E4F96" w:rsidRPr="00B7620F" w:rsidRDefault="002E4F96" w:rsidP="001E7EA1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1. Здравоохранение</w:t>
            </w:r>
          </w:p>
        </w:tc>
        <w:tc>
          <w:tcPr>
            <w:tcW w:w="5386" w:type="dxa"/>
            <w:shd w:val="clear" w:color="auto" w:fill="auto"/>
          </w:tcPr>
          <w:p w:rsidR="002E4F96" w:rsidRPr="00B7620F" w:rsidRDefault="002E4F96" w:rsidP="001E7EA1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Уменьшение количества смертей среди населения, находящегося в трудоспособном возрасте.</w:t>
            </w:r>
          </w:p>
        </w:tc>
        <w:tc>
          <w:tcPr>
            <w:tcW w:w="1701" w:type="dxa"/>
            <w:shd w:val="clear" w:color="auto" w:fill="auto"/>
          </w:tcPr>
          <w:p w:rsidR="002E4F96" w:rsidRPr="00B7620F" w:rsidRDefault="002E4F96" w:rsidP="001E7EA1">
            <w:pPr>
              <w:contextualSpacing/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B7620F">
              <w:rPr>
                <w:sz w:val="24"/>
                <w:szCs w:val="24"/>
                <w:shd w:val="clear" w:color="auto" w:fill="FFFFFF"/>
              </w:rPr>
              <w:t>1725,8</w:t>
            </w:r>
          </w:p>
        </w:tc>
      </w:tr>
    </w:tbl>
    <w:p w:rsidR="002E4F96" w:rsidRPr="00B7620F" w:rsidRDefault="002E4F96" w:rsidP="002E4F96">
      <w:pPr>
        <w:spacing w:line="312" w:lineRule="auto"/>
        <w:contextualSpacing/>
        <w:jc w:val="center"/>
        <w:rPr>
          <w:sz w:val="24"/>
          <w:szCs w:val="24"/>
        </w:rPr>
      </w:pPr>
    </w:p>
    <w:p w:rsidR="002E4F96" w:rsidRPr="00B7620F" w:rsidRDefault="002E4F96" w:rsidP="002E4F96">
      <w:pPr>
        <w:spacing w:line="312" w:lineRule="auto"/>
        <w:contextualSpacing/>
        <w:jc w:val="center"/>
        <w:rPr>
          <w:sz w:val="24"/>
          <w:szCs w:val="24"/>
          <w:shd w:val="clear" w:color="auto" w:fill="FFFFFF"/>
        </w:rPr>
      </w:pPr>
      <w:r w:rsidRPr="00B7620F">
        <w:rPr>
          <w:sz w:val="24"/>
          <w:szCs w:val="24"/>
        </w:rPr>
        <w:object w:dxaOrig="10375" w:dyaOrig="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9pt;height:174.75pt" o:ole="">
            <v:imagedata r:id="rId5" o:title=""/>
          </v:shape>
          <o:OLEObject Type="Embed" ProgID="Excel.Sheet.12" ShapeID="_x0000_i1025" DrawAspect="Content" ObjectID="_1728212463" r:id="rId6"/>
        </w:object>
      </w:r>
    </w:p>
    <w:p w:rsidR="002E4F96" w:rsidRPr="00B7620F" w:rsidRDefault="002E4F96" w:rsidP="002E4F96">
      <w:pPr>
        <w:spacing w:line="312" w:lineRule="auto"/>
        <w:ind w:firstLine="709"/>
        <w:contextualSpacing/>
        <w:jc w:val="center"/>
        <w:rPr>
          <w:shd w:val="clear" w:color="auto" w:fill="FFFFFF"/>
        </w:rPr>
      </w:pPr>
      <w:r w:rsidRPr="00B7620F">
        <w:rPr>
          <w:shd w:val="clear" w:color="auto" w:fill="FFFFFF"/>
        </w:rPr>
        <w:t>Рис.</w:t>
      </w:r>
      <w:r>
        <w:rPr>
          <w:shd w:val="clear" w:color="auto" w:fill="FFFFFF"/>
        </w:rPr>
        <w:t xml:space="preserve"> </w:t>
      </w:r>
      <w:r w:rsidRPr="00B7620F">
        <w:rPr>
          <w:shd w:val="clear" w:color="auto" w:fill="FFFFFF"/>
        </w:rPr>
        <w:t>1. Смертность населения в трудоспособном возрасте,</w:t>
      </w:r>
    </w:p>
    <w:p w:rsidR="002E4F96" w:rsidRDefault="002E4F96" w:rsidP="002E4F96">
      <w:pPr>
        <w:spacing w:line="312" w:lineRule="auto"/>
        <w:ind w:firstLine="709"/>
        <w:contextualSpacing/>
        <w:jc w:val="center"/>
        <w:rPr>
          <w:shd w:val="clear" w:color="auto" w:fill="FFFFFF"/>
        </w:rPr>
      </w:pPr>
      <w:r w:rsidRPr="00B7620F">
        <w:rPr>
          <w:shd w:val="clear" w:color="auto" w:fill="FFFFFF"/>
        </w:rPr>
        <w:t>на 100 тыс. населения</w:t>
      </w:r>
    </w:p>
    <w:p w:rsidR="002E4F96" w:rsidRPr="00B7620F" w:rsidRDefault="002E4F96" w:rsidP="002E4F96">
      <w:pPr>
        <w:spacing w:line="312" w:lineRule="auto"/>
        <w:ind w:firstLine="709"/>
        <w:contextualSpacing/>
        <w:jc w:val="center"/>
        <w:rPr>
          <w:shd w:val="clear" w:color="auto" w:fill="FFFFFF"/>
        </w:rPr>
      </w:pPr>
    </w:p>
    <w:p w:rsidR="002E4F96" w:rsidRDefault="002E4F96" w:rsidP="002E4F96">
      <w:pPr>
        <w:spacing w:line="312" w:lineRule="auto"/>
        <w:ind w:firstLine="709"/>
        <w:contextualSpacing/>
        <w:jc w:val="both"/>
        <w:rPr>
          <w:rFonts w:eastAsia="Calibri"/>
          <w:b/>
        </w:rPr>
      </w:pPr>
    </w:p>
    <w:p w:rsidR="002E4F96" w:rsidRPr="00B7620F" w:rsidRDefault="002E4F96" w:rsidP="002E4F96">
      <w:pPr>
        <w:spacing w:line="312" w:lineRule="auto"/>
        <w:ind w:firstLine="709"/>
        <w:contextualSpacing/>
        <w:jc w:val="both"/>
        <w:rPr>
          <w:rFonts w:eastAsia="Calibri"/>
          <w:b/>
        </w:rPr>
      </w:pPr>
      <w:bookmarkStart w:id="0" w:name="_GoBack"/>
      <w:bookmarkEnd w:id="0"/>
      <w:r w:rsidRPr="00B7620F">
        <w:rPr>
          <w:rFonts w:eastAsia="Calibri"/>
          <w:b/>
        </w:rPr>
        <w:lastRenderedPageBreak/>
        <w:t>Список используемых источников</w:t>
      </w:r>
    </w:p>
    <w:p w:rsidR="002E4F96" w:rsidRPr="00B7620F" w:rsidRDefault="002E4F96" w:rsidP="002E4F96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B7620F">
        <w:rPr>
          <w:rFonts w:eastAsia="Calibri"/>
        </w:rPr>
        <w:t>Адорно</w:t>
      </w:r>
      <w:proofErr w:type="spellEnd"/>
      <w:r w:rsidRPr="00B7620F">
        <w:rPr>
          <w:rFonts w:eastAsia="Calibri"/>
        </w:rPr>
        <w:t xml:space="preserve"> Т.В. К логике социальных наук // Вопросы философии. 2009. № 10. С. 76-86.</w:t>
      </w:r>
    </w:p>
    <w:p w:rsidR="002E4F96" w:rsidRPr="00D54C6A" w:rsidRDefault="002E4F96" w:rsidP="002E4F96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</w:pPr>
      <w:r w:rsidRPr="00D54C6A">
        <w:t xml:space="preserve">Головина С.Г., Мыльников Е.А., Смирнова Л.Н., </w:t>
      </w:r>
      <w:proofErr w:type="spellStart"/>
      <w:r w:rsidRPr="00D54C6A">
        <w:t>Лоретц</w:t>
      </w:r>
      <w:proofErr w:type="spellEnd"/>
      <w:r w:rsidRPr="00D54C6A">
        <w:t xml:space="preserve"> Е.Е. О фермерстве и кооперации. Екатеринбург: Изд-во Уральского ГАУ, 2019. 296 с.</w:t>
      </w:r>
    </w:p>
    <w:p w:rsidR="002E4F96" w:rsidRDefault="002E4F96" w:rsidP="002E4F96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rFonts w:eastAsia="Calibri"/>
        </w:rPr>
      </w:pPr>
      <w:r w:rsidRPr="00B7620F">
        <w:rPr>
          <w:rFonts w:eastAsia="Calibri"/>
        </w:rPr>
        <w:t>Нацпроекты: задач много, а цель одна</w:t>
      </w:r>
      <w:r>
        <w:rPr>
          <w:rFonts w:eastAsia="Calibri"/>
        </w:rPr>
        <w:t xml:space="preserve"> / </w:t>
      </w:r>
      <w:r w:rsidRPr="00B7620F">
        <w:rPr>
          <w:rFonts w:eastAsia="Calibri"/>
        </w:rPr>
        <w:t>Парламентская газета</w:t>
      </w:r>
      <w:r>
        <w:rPr>
          <w:rFonts w:eastAsia="Calibri"/>
        </w:rPr>
        <w:t xml:space="preserve">, </w:t>
      </w:r>
      <w:r w:rsidRPr="00B7620F">
        <w:rPr>
          <w:rFonts w:eastAsia="Calibri"/>
        </w:rPr>
        <w:t>07.08.2019 г. [Электронный ресурс]. URL: www.pnp.ru/economics/nacproekty-zadach-mnogo-a-cel-odna.html (</w:t>
      </w:r>
      <w:r>
        <w:rPr>
          <w:rFonts w:eastAsia="Calibri"/>
        </w:rPr>
        <w:t>д</w:t>
      </w:r>
      <w:r w:rsidRPr="00B7620F">
        <w:rPr>
          <w:rFonts w:eastAsia="Calibri"/>
        </w:rPr>
        <w:t>ата обращения: 12.02.2019)</w:t>
      </w:r>
      <w:r w:rsidRPr="000E51ED">
        <w:rPr>
          <w:rFonts w:eastAsia="Calibri"/>
        </w:rPr>
        <w:t>.</w:t>
      </w:r>
    </w:p>
    <w:p w:rsidR="002E4F96" w:rsidRPr="00D54C6A" w:rsidRDefault="002E4F96" w:rsidP="002E4F96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D54C6A">
        <w:t>Тахватулина</w:t>
      </w:r>
      <w:proofErr w:type="spellEnd"/>
      <w:r w:rsidRPr="00D54C6A">
        <w:t xml:space="preserve"> А.А., Бурлаков И.А., Балашова А.М., Филимонова А.С., Ткаченко В.Л. Анализ эффективности "Национальная стратегия действий в интересах женщин на 2017-2022 годы" / Актуальные вопросы современной науки: сборник статей по материалам XIII международной научно-практической конференции / Отв. ред. А.Р. </w:t>
      </w:r>
      <w:proofErr w:type="spellStart"/>
      <w:r w:rsidRPr="00D54C6A">
        <w:t>Халиков</w:t>
      </w:r>
      <w:proofErr w:type="spellEnd"/>
      <w:r w:rsidRPr="00D54C6A">
        <w:t xml:space="preserve">. Томск: Изд-во </w:t>
      </w:r>
      <w:proofErr w:type="spellStart"/>
      <w:r w:rsidRPr="00D54C6A">
        <w:t>Дендра</w:t>
      </w:r>
      <w:proofErr w:type="spellEnd"/>
      <w:r w:rsidRPr="00D54C6A">
        <w:t xml:space="preserve">, 2018. 207 с. С. 188-197. </w:t>
      </w:r>
    </w:p>
    <w:p w:rsidR="00164575" w:rsidRDefault="00164575"/>
    <w:sectPr w:rsidR="0016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98A"/>
    <w:multiLevelType w:val="hybridMultilevel"/>
    <w:tmpl w:val="99FC01F4"/>
    <w:lvl w:ilvl="0" w:tplc="401CF6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B8937BA"/>
    <w:multiLevelType w:val="hybridMultilevel"/>
    <w:tmpl w:val="2668E48C"/>
    <w:lvl w:ilvl="0" w:tplc="1D0A76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09D0"/>
    <w:multiLevelType w:val="hybridMultilevel"/>
    <w:tmpl w:val="61BE2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96"/>
    <w:rsid w:val="00164575"/>
    <w:rsid w:val="002E4F96"/>
    <w:rsid w:val="00C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DF7DC1-1907-4942-897A-BC86160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F9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Ромодина</dc:creator>
  <cp:keywords/>
  <dc:description/>
  <cp:lastModifiedBy>Анна Михайловна Ромодина</cp:lastModifiedBy>
  <cp:revision>1</cp:revision>
  <dcterms:created xsi:type="dcterms:W3CDTF">2022-10-25T09:14:00Z</dcterms:created>
  <dcterms:modified xsi:type="dcterms:W3CDTF">2022-10-25T09:15:00Z</dcterms:modified>
</cp:coreProperties>
</file>