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C33E7" w:rsidRDefault="00AC33E7" w:rsidP="003E431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162A78">
        <w:rPr>
          <w:rFonts w:ascii="Times New Roman" w:hAnsi="Times New Roman"/>
          <w:sz w:val="24"/>
          <w:szCs w:val="2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" style="width:126.6pt;height:28.8pt">
            <v:imagedata r:id="rId5" r:href="rId6"/>
          </v:shape>
        </w:pict>
      </w:r>
    </w:p>
    <w:p w:rsidR="00AC33E7" w:rsidRDefault="00AC33E7" w:rsidP="00175E0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C33E7" w:rsidRPr="00A14053" w:rsidRDefault="00AC33E7" w:rsidP="00175E01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AC33E7" w:rsidRPr="007D490B" w:rsidRDefault="00AC33E7" w:rsidP="00175E01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Пример оформления</w:t>
      </w:r>
      <w:r w:rsidRPr="007B1333">
        <w:rPr>
          <w:rFonts w:ascii="Times New Roman" w:hAnsi="Times New Roman"/>
          <w:b/>
          <w:sz w:val="24"/>
          <w:szCs w:val="24"/>
        </w:rPr>
        <w:t xml:space="preserve"> </w:t>
      </w:r>
      <w:r w:rsidRPr="007D490B">
        <w:rPr>
          <w:rFonts w:ascii="Times New Roman" w:hAnsi="Times New Roman"/>
          <w:b/>
          <w:sz w:val="24"/>
          <w:szCs w:val="24"/>
        </w:rPr>
        <w:t>тезисов доклад</w:t>
      </w:r>
      <w:r>
        <w:rPr>
          <w:rFonts w:ascii="Times New Roman" w:hAnsi="Times New Roman"/>
          <w:b/>
          <w:sz w:val="24"/>
          <w:szCs w:val="24"/>
        </w:rPr>
        <w:t>ов</w:t>
      </w:r>
    </w:p>
    <w:p w:rsidR="00AC33E7" w:rsidRDefault="00AC33E7" w:rsidP="00164A83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lang w:val="en-US"/>
        </w:rPr>
        <w:t>V</w:t>
      </w:r>
      <w:r w:rsidRPr="00250169">
        <w:rPr>
          <w:rFonts w:ascii="Times New Roman" w:hAnsi="Times New Roman"/>
          <w:b/>
          <w:sz w:val="24"/>
          <w:szCs w:val="24"/>
        </w:rPr>
        <w:t xml:space="preserve"> </w:t>
      </w:r>
      <w:r w:rsidRPr="007D490B">
        <w:rPr>
          <w:rFonts w:ascii="Times New Roman" w:hAnsi="Times New Roman"/>
          <w:b/>
          <w:sz w:val="24"/>
          <w:szCs w:val="24"/>
        </w:rPr>
        <w:t>Международной научной конференции «ПОТЁМКИНСКИЕ ЧТЕНИЯ»</w:t>
      </w:r>
    </w:p>
    <w:p w:rsidR="00AC33E7" w:rsidRDefault="00AC33E7" w:rsidP="00A14053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AC33E7" w:rsidRDefault="00AC33E7" w:rsidP="00A14053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AC33E7" w:rsidRPr="00A14053" w:rsidRDefault="00AC33E7" w:rsidP="00A14053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A14053">
        <w:rPr>
          <w:rFonts w:ascii="Times New Roman" w:hAnsi="Times New Roman"/>
          <w:b/>
          <w:sz w:val="24"/>
          <w:szCs w:val="24"/>
        </w:rPr>
        <w:t xml:space="preserve">УДК </w:t>
      </w:r>
      <w:r>
        <w:rPr>
          <w:rFonts w:ascii="Times New Roman" w:hAnsi="Times New Roman"/>
          <w:b/>
          <w:sz w:val="24"/>
          <w:szCs w:val="24"/>
        </w:rPr>
        <w:t>_______</w:t>
      </w:r>
    </w:p>
    <w:p w:rsidR="00AC33E7" w:rsidRDefault="00AC33E7" w:rsidP="007B1333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AC33E7" w:rsidRPr="007B1333" w:rsidRDefault="00AC33E7" w:rsidP="007B1333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7B1333">
        <w:rPr>
          <w:rFonts w:ascii="Times New Roman" w:hAnsi="Times New Roman"/>
          <w:b/>
          <w:sz w:val="24"/>
          <w:szCs w:val="24"/>
        </w:rPr>
        <w:t>ФЕМА ХЕРСОН В СИСТЕМЕ БЕЗОПАСНОСТИ СЕВЕРНЫХ РУБЕЖЕЙ</w:t>
      </w:r>
    </w:p>
    <w:p w:rsidR="00AC33E7" w:rsidRPr="00A14053" w:rsidRDefault="00AC33E7" w:rsidP="007B1333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7B1333">
        <w:rPr>
          <w:rFonts w:ascii="Times New Roman" w:hAnsi="Times New Roman"/>
          <w:b/>
          <w:sz w:val="24"/>
          <w:szCs w:val="24"/>
        </w:rPr>
        <w:t>ВИЗАНТИЙСКОЙ ИМПЕРИИ В IX–XI ВЕКАХ</w:t>
      </w:r>
    </w:p>
    <w:p w:rsidR="00AC33E7" w:rsidRPr="00A14053" w:rsidRDefault="00AC33E7" w:rsidP="00A14053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A14053">
        <w:rPr>
          <w:rFonts w:ascii="Times New Roman" w:hAnsi="Times New Roman"/>
          <w:b/>
          <w:sz w:val="24"/>
          <w:szCs w:val="24"/>
        </w:rPr>
        <w:t xml:space="preserve"> </w:t>
      </w:r>
    </w:p>
    <w:p w:rsidR="00AC33E7" w:rsidRPr="00BA016D" w:rsidRDefault="00AC33E7" w:rsidP="00A14053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</w:rPr>
        <w:t xml:space="preserve">Иванов И.И. </w:t>
      </w:r>
    </w:p>
    <w:p w:rsidR="00AC33E7" w:rsidRPr="006A5A74" w:rsidRDefault="00AC33E7" w:rsidP="00A14053">
      <w:pPr>
        <w:spacing w:after="0" w:line="240" w:lineRule="auto"/>
        <w:jc w:val="center"/>
        <w:rPr>
          <w:rFonts w:ascii="Times New Roman" w:hAnsi="Times New Roman"/>
          <w:i/>
          <w:sz w:val="24"/>
          <w:szCs w:val="24"/>
        </w:rPr>
      </w:pPr>
      <w:r w:rsidRPr="006A5A74">
        <w:rPr>
          <w:rFonts w:ascii="Times New Roman" w:hAnsi="Times New Roman"/>
          <w:i/>
          <w:sz w:val="24"/>
          <w:szCs w:val="24"/>
        </w:rPr>
        <w:t>Севастопольский государственный университет, г. Севастополь</w:t>
      </w:r>
    </w:p>
    <w:p w:rsidR="00AC33E7" w:rsidRPr="00A14053" w:rsidRDefault="00AC33E7" w:rsidP="00A14053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AC33E7" w:rsidRDefault="00AC33E7" w:rsidP="007B1333">
      <w:pPr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Основной текст [8, с. 12–15]…</w:t>
      </w:r>
      <w:r w:rsidRPr="007B1333">
        <w:rPr>
          <w:rFonts w:ascii="Times New Roman" w:hAnsi="Times New Roman"/>
          <w:sz w:val="24"/>
          <w:szCs w:val="24"/>
        </w:rPr>
        <w:t xml:space="preserve">Основной текст [8, с. 12–15]…Основной текст </w:t>
      </w:r>
      <w:r>
        <w:rPr>
          <w:rFonts w:ascii="Times New Roman" w:hAnsi="Times New Roman"/>
          <w:sz w:val="24"/>
          <w:szCs w:val="24"/>
        </w:rPr>
        <w:t>[8, с. 12–15]…</w:t>
      </w:r>
      <w:r w:rsidRPr="007B1333">
        <w:rPr>
          <w:rFonts w:ascii="Times New Roman" w:hAnsi="Times New Roman"/>
          <w:sz w:val="24"/>
          <w:szCs w:val="24"/>
        </w:rPr>
        <w:t xml:space="preserve">Основной текст </w:t>
      </w:r>
      <w:r>
        <w:rPr>
          <w:rFonts w:ascii="Times New Roman" w:hAnsi="Times New Roman"/>
          <w:sz w:val="24"/>
          <w:szCs w:val="24"/>
        </w:rPr>
        <w:t>[8, с. 12–15]…</w:t>
      </w:r>
      <w:r w:rsidRPr="007B1333">
        <w:rPr>
          <w:rFonts w:ascii="Times New Roman" w:hAnsi="Times New Roman"/>
          <w:sz w:val="24"/>
          <w:szCs w:val="24"/>
        </w:rPr>
        <w:t xml:space="preserve">Основной текст </w:t>
      </w:r>
      <w:r>
        <w:rPr>
          <w:rFonts w:ascii="Times New Roman" w:hAnsi="Times New Roman"/>
          <w:sz w:val="24"/>
          <w:szCs w:val="24"/>
        </w:rPr>
        <w:t>[8, с. 12–15]…</w:t>
      </w:r>
      <w:r w:rsidRPr="007B1333">
        <w:rPr>
          <w:rFonts w:ascii="Times New Roman" w:hAnsi="Times New Roman"/>
          <w:sz w:val="24"/>
          <w:szCs w:val="24"/>
        </w:rPr>
        <w:t xml:space="preserve">Основной текст </w:t>
      </w:r>
      <w:r>
        <w:rPr>
          <w:rFonts w:ascii="Times New Roman" w:hAnsi="Times New Roman"/>
          <w:sz w:val="24"/>
          <w:szCs w:val="24"/>
        </w:rPr>
        <w:t>[8, с. 12–15]…</w:t>
      </w:r>
      <w:r w:rsidRPr="007B1333">
        <w:rPr>
          <w:rFonts w:ascii="Times New Roman" w:hAnsi="Times New Roman"/>
          <w:sz w:val="24"/>
          <w:szCs w:val="24"/>
        </w:rPr>
        <w:t>Основной текст [8, с. 12–15]…</w:t>
      </w:r>
      <w:r w:rsidRPr="00A14053">
        <w:rPr>
          <w:rFonts w:ascii="Times New Roman" w:hAnsi="Times New Roman"/>
          <w:sz w:val="24"/>
          <w:szCs w:val="24"/>
        </w:rPr>
        <w:t xml:space="preserve">Основной текст </w:t>
      </w:r>
      <w:r>
        <w:rPr>
          <w:rFonts w:ascii="Times New Roman" w:hAnsi="Times New Roman"/>
          <w:sz w:val="24"/>
          <w:szCs w:val="24"/>
        </w:rPr>
        <w:t>(табл. 1)</w:t>
      </w:r>
      <w:r w:rsidRPr="00A14053">
        <w:rPr>
          <w:rFonts w:ascii="Times New Roman" w:hAnsi="Times New Roman"/>
          <w:sz w:val="24"/>
          <w:szCs w:val="24"/>
        </w:rPr>
        <w:t>.</w:t>
      </w:r>
    </w:p>
    <w:p w:rsidR="00AC33E7" w:rsidRPr="008B35DF" w:rsidRDefault="00AC33E7" w:rsidP="006A5A74">
      <w:pPr>
        <w:tabs>
          <w:tab w:val="left" w:pos="0"/>
        </w:tabs>
        <w:spacing w:before="120" w:after="120" w:line="240" w:lineRule="auto"/>
        <w:jc w:val="center"/>
        <w:rPr>
          <w:rFonts w:ascii="Times New Roman" w:hAnsi="Times New Roman"/>
          <w:sz w:val="24"/>
          <w:szCs w:val="24"/>
        </w:rPr>
      </w:pPr>
      <w:r w:rsidRPr="00C16678">
        <w:rPr>
          <w:rFonts w:ascii="Times New Roman" w:hAnsi="Times New Roman"/>
          <w:sz w:val="24"/>
          <w:szCs w:val="24"/>
          <w:shd w:val="clear" w:color="auto" w:fill="FFFFFF"/>
        </w:rPr>
        <w:t xml:space="preserve">Таблица 1. </w:t>
      </w:r>
      <w:r>
        <w:rPr>
          <w:rFonts w:ascii="Times New Roman" w:hAnsi="Times New Roman"/>
          <w:sz w:val="24"/>
          <w:szCs w:val="24"/>
          <w:shd w:val="clear" w:color="auto" w:fill="FFFFFF"/>
        </w:rPr>
        <w:t>Название таблицы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3284"/>
        <w:gridCol w:w="3285"/>
        <w:gridCol w:w="3285"/>
      </w:tblGrid>
      <w:tr w:rsidR="00AC33E7" w:rsidRPr="006A5A74" w:rsidTr="006A5A74">
        <w:tc>
          <w:tcPr>
            <w:tcW w:w="3284" w:type="dxa"/>
          </w:tcPr>
          <w:p w:rsidR="00AC33E7" w:rsidRPr="006A5A74" w:rsidRDefault="00AC33E7" w:rsidP="006A5A7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85" w:type="dxa"/>
          </w:tcPr>
          <w:p w:rsidR="00AC33E7" w:rsidRPr="006A5A74" w:rsidRDefault="00AC33E7" w:rsidP="006A5A7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85" w:type="dxa"/>
          </w:tcPr>
          <w:p w:rsidR="00AC33E7" w:rsidRPr="006A5A74" w:rsidRDefault="00AC33E7" w:rsidP="006A5A7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C33E7" w:rsidRPr="006A5A74" w:rsidTr="006A5A74">
        <w:tc>
          <w:tcPr>
            <w:tcW w:w="3284" w:type="dxa"/>
          </w:tcPr>
          <w:p w:rsidR="00AC33E7" w:rsidRPr="006A5A74" w:rsidRDefault="00AC33E7" w:rsidP="006A5A7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85" w:type="dxa"/>
          </w:tcPr>
          <w:p w:rsidR="00AC33E7" w:rsidRPr="006A5A74" w:rsidRDefault="00AC33E7" w:rsidP="006A5A7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85" w:type="dxa"/>
          </w:tcPr>
          <w:p w:rsidR="00AC33E7" w:rsidRPr="006A5A74" w:rsidRDefault="00AC33E7" w:rsidP="006A5A7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C33E7" w:rsidRPr="006A5A74" w:rsidTr="006A5A74">
        <w:tc>
          <w:tcPr>
            <w:tcW w:w="3284" w:type="dxa"/>
          </w:tcPr>
          <w:p w:rsidR="00AC33E7" w:rsidRPr="006A5A74" w:rsidRDefault="00AC33E7" w:rsidP="006A5A7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85" w:type="dxa"/>
          </w:tcPr>
          <w:p w:rsidR="00AC33E7" w:rsidRPr="006A5A74" w:rsidRDefault="00AC33E7" w:rsidP="006A5A7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85" w:type="dxa"/>
          </w:tcPr>
          <w:p w:rsidR="00AC33E7" w:rsidRPr="006A5A74" w:rsidRDefault="00AC33E7" w:rsidP="006A5A7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AC33E7" w:rsidRPr="00A14053" w:rsidRDefault="00AC33E7" w:rsidP="0025016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C33E7" w:rsidRPr="007B1333" w:rsidRDefault="00AC33E7" w:rsidP="007B1333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Основной текст [8, с. 12–15]…Основной текст </w:t>
      </w:r>
      <w:r w:rsidRPr="007B1333">
        <w:rPr>
          <w:rFonts w:ascii="Times New Roman" w:hAnsi="Times New Roman"/>
          <w:sz w:val="24"/>
          <w:szCs w:val="24"/>
        </w:rPr>
        <w:t xml:space="preserve">[8, с. 12–15]…Основной текст </w:t>
      </w:r>
      <w:r>
        <w:rPr>
          <w:rFonts w:ascii="Times New Roman" w:hAnsi="Times New Roman"/>
          <w:sz w:val="24"/>
          <w:szCs w:val="24"/>
        </w:rPr>
        <w:t>[8, с. 12–15]…Основной текст [8, с. 12–15]…</w:t>
      </w:r>
      <w:r w:rsidRPr="007B1333">
        <w:rPr>
          <w:rFonts w:ascii="Times New Roman" w:hAnsi="Times New Roman"/>
          <w:sz w:val="24"/>
          <w:szCs w:val="24"/>
        </w:rPr>
        <w:t xml:space="preserve">Основной текст </w:t>
      </w:r>
      <w:r>
        <w:rPr>
          <w:rFonts w:ascii="Times New Roman" w:hAnsi="Times New Roman"/>
          <w:sz w:val="24"/>
          <w:szCs w:val="24"/>
        </w:rPr>
        <w:t>[8, с. 12–15]…</w:t>
      </w:r>
      <w:r w:rsidRPr="007B1333">
        <w:rPr>
          <w:rFonts w:ascii="Times New Roman" w:hAnsi="Times New Roman"/>
          <w:sz w:val="24"/>
          <w:szCs w:val="24"/>
        </w:rPr>
        <w:t xml:space="preserve">Основной текст </w:t>
      </w:r>
      <w:r>
        <w:rPr>
          <w:rFonts w:ascii="Times New Roman" w:hAnsi="Times New Roman"/>
          <w:sz w:val="24"/>
          <w:szCs w:val="24"/>
        </w:rPr>
        <w:t>[8, с. 12–15]…Основной текст</w:t>
      </w:r>
      <w:r w:rsidRPr="007B1333">
        <w:rPr>
          <w:rFonts w:ascii="Times New Roman" w:hAnsi="Times New Roman"/>
          <w:sz w:val="24"/>
          <w:szCs w:val="24"/>
        </w:rPr>
        <w:t xml:space="preserve"> [8, с. 12–15]…</w:t>
      </w:r>
    </w:p>
    <w:p w:rsidR="00AC33E7" w:rsidRDefault="00AC33E7" w:rsidP="00A14053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AC33E7" w:rsidRDefault="00AC33E7" w:rsidP="00164A83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AC33E7" w:rsidRDefault="00AC33E7" w:rsidP="00164A83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A14053">
        <w:rPr>
          <w:rFonts w:ascii="Times New Roman" w:hAnsi="Times New Roman"/>
          <w:b/>
          <w:sz w:val="24"/>
          <w:szCs w:val="24"/>
        </w:rPr>
        <w:t xml:space="preserve">Список </w:t>
      </w:r>
      <w:r>
        <w:rPr>
          <w:rFonts w:ascii="Times New Roman" w:hAnsi="Times New Roman"/>
          <w:b/>
          <w:sz w:val="24"/>
          <w:szCs w:val="24"/>
        </w:rPr>
        <w:t xml:space="preserve">источников и </w:t>
      </w:r>
      <w:r w:rsidRPr="00A14053">
        <w:rPr>
          <w:rFonts w:ascii="Times New Roman" w:hAnsi="Times New Roman"/>
          <w:b/>
          <w:sz w:val="24"/>
          <w:szCs w:val="24"/>
        </w:rPr>
        <w:t>литературы</w:t>
      </w:r>
    </w:p>
    <w:p w:rsidR="00AC33E7" w:rsidRPr="007B1333" w:rsidRDefault="00AC33E7" w:rsidP="00250169">
      <w:pPr>
        <w:spacing w:after="0" w:line="240" w:lineRule="auto"/>
        <w:jc w:val="both"/>
        <w:rPr>
          <w:rFonts w:ascii="Times New Roman" w:hAnsi="Times New Roman"/>
          <w:b/>
          <w:bCs/>
          <w:i/>
          <w:sz w:val="24"/>
          <w:szCs w:val="24"/>
          <w:lang w:eastAsia="ru-RU"/>
        </w:rPr>
      </w:pPr>
    </w:p>
    <w:p w:rsidR="00AC33E7" w:rsidRPr="007B1333" w:rsidRDefault="00AC33E7" w:rsidP="007B1333">
      <w:pPr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jc w:val="both"/>
        <w:rPr>
          <w:rFonts w:ascii="Times New Roman" w:hAnsi="Times New Roman"/>
          <w:sz w:val="20"/>
          <w:szCs w:val="20"/>
        </w:rPr>
      </w:pPr>
      <w:r w:rsidRPr="007B1333">
        <w:rPr>
          <w:rFonts w:ascii="Times New Roman" w:hAnsi="Times New Roman"/>
          <w:sz w:val="20"/>
          <w:szCs w:val="20"/>
        </w:rPr>
        <w:t>Анохин В.А. Монетное дело Херсонеса (IV в. до н.э. – XII в. н.э.). К.: Наукова думка, 1977. 176 с.</w:t>
      </w:r>
    </w:p>
    <w:p w:rsidR="00AC33E7" w:rsidRPr="007B1333" w:rsidRDefault="00AC33E7" w:rsidP="007B1333">
      <w:pPr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jc w:val="both"/>
        <w:rPr>
          <w:rFonts w:ascii="Times New Roman" w:hAnsi="Times New Roman"/>
          <w:sz w:val="20"/>
          <w:szCs w:val="20"/>
        </w:rPr>
      </w:pPr>
      <w:r w:rsidRPr="007B1333">
        <w:rPr>
          <w:rFonts w:ascii="Times New Roman" w:hAnsi="Times New Roman"/>
          <w:sz w:val="20"/>
          <w:szCs w:val="20"/>
        </w:rPr>
        <w:t>Бадян В. В., Чиперис А. М. Торговля Каффы в XIII–XV вв. // Феодальная Таврика. Материалы по истории и археологии Крыма. К.: Наукова думка, 1974. С. 174–189.</w:t>
      </w:r>
    </w:p>
    <w:p w:rsidR="00AC33E7" w:rsidRPr="007B1333" w:rsidRDefault="00AC33E7" w:rsidP="007B1333">
      <w:pPr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jc w:val="both"/>
        <w:rPr>
          <w:rFonts w:ascii="Times New Roman" w:hAnsi="Times New Roman"/>
          <w:sz w:val="20"/>
          <w:szCs w:val="20"/>
        </w:rPr>
      </w:pPr>
      <w:r w:rsidRPr="007B1333">
        <w:rPr>
          <w:rFonts w:ascii="Times New Roman" w:hAnsi="Times New Roman"/>
          <w:sz w:val="20"/>
          <w:szCs w:val="20"/>
        </w:rPr>
        <w:t>ГАРК. Ф. 538. Оп. 1. Д. 3.</w:t>
      </w:r>
    </w:p>
    <w:p w:rsidR="00AC33E7" w:rsidRPr="007B1333" w:rsidRDefault="00AC33E7" w:rsidP="007B1333">
      <w:pPr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jc w:val="both"/>
        <w:rPr>
          <w:rFonts w:ascii="Times New Roman" w:hAnsi="Times New Roman"/>
          <w:sz w:val="20"/>
          <w:szCs w:val="20"/>
        </w:rPr>
      </w:pPr>
      <w:r w:rsidRPr="007B1333">
        <w:rPr>
          <w:rFonts w:ascii="Times New Roman" w:hAnsi="Times New Roman"/>
          <w:sz w:val="20"/>
          <w:szCs w:val="20"/>
        </w:rPr>
        <w:t>Дьячков С.В. О метательном оружии гарнизона генуэзской крепости Чембало (XIV–XV вв.) // Древности 2011. Харьковский историко-археологический ежегодник. Харьков: НТМТ, 2011. С. 206–226.</w:t>
      </w:r>
    </w:p>
    <w:p w:rsidR="00AC33E7" w:rsidRPr="007B1333" w:rsidRDefault="00AC33E7" w:rsidP="007B1333">
      <w:pPr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jc w:val="both"/>
        <w:rPr>
          <w:rFonts w:ascii="Times New Roman" w:hAnsi="Times New Roman"/>
          <w:sz w:val="20"/>
          <w:szCs w:val="20"/>
        </w:rPr>
      </w:pPr>
      <w:r w:rsidRPr="007B1333">
        <w:rPr>
          <w:rFonts w:ascii="Times New Roman" w:hAnsi="Times New Roman"/>
          <w:sz w:val="20"/>
          <w:szCs w:val="20"/>
        </w:rPr>
        <w:t>История Османского государства, общества и цивилизации / под ред. Э. Ихсаноглу. М.: Восточная литература, 2006. Т. 1. История Османского государства и общества. 602 с.</w:t>
      </w:r>
    </w:p>
    <w:p w:rsidR="00AC33E7" w:rsidRPr="007B1333" w:rsidRDefault="00AC33E7" w:rsidP="007B1333">
      <w:pPr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jc w:val="both"/>
        <w:rPr>
          <w:rFonts w:ascii="Times New Roman" w:hAnsi="Times New Roman"/>
          <w:sz w:val="20"/>
          <w:szCs w:val="20"/>
        </w:rPr>
      </w:pPr>
      <w:r w:rsidRPr="007B1333">
        <w:rPr>
          <w:rFonts w:ascii="Times New Roman" w:hAnsi="Times New Roman"/>
          <w:sz w:val="20"/>
          <w:szCs w:val="20"/>
        </w:rPr>
        <w:t>Культура Византии. Вторая половина IV – первая половина VII вв. / под. ред. З.В. Удальцовой. М.: Наука, 1984. 728 с.</w:t>
      </w:r>
    </w:p>
    <w:p w:rsidR="00AC33E7" w:rsidRPr="007B1333" w:rsidRDefault="00AC33E7" w:rsidP="007B1333">
      <w:pPr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jc w:val="both"/>
        <w:rPr>
          <w:rFonts w:ascii="Times New Roman" w:hAnsi="Times New Roman"/>
          <w:sz w:val="20"/>
          <w:szCs w:val="20"/>
        </w:rPr>
      </w:pPr>
      <w:r w:rsidRPr="007B1333">
        <w:rPr>
          <w:rFonts w:ascii="Times New Roman" w:hAnsi="Times New Roman"/>
          <w:sz w:val="20"/>
          <w:szCs w:val="20"/>
        </w:rPr>
        <w:t>Курникова О.М. Документальные источники по истории османских владений на территории Крыма в XVI–XVIII вв.: Дис. … канд. ист. наук. М., 2009. 250 с.</w:t>
      </w:r>
    </w:p>
    <w:p w:rsidR="00AC33E7" w:rsidRPr="007B1333" w:rsidRDefault="00AC33E7" w:rsidP="007B1333">
      <w:pPr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jc w:val="both"/>
        <w:rPr>
          <w:rFonts w:ascii="Times New Roman" w:hAnsi="Times New Roman"/>
          <w:sz w:val="20"/>
          <w:szCs w:val="20"/>
        </w:rPr>
      </w:pPr>
      <w:r w:rsidRPr="007B1333">
        <w:rPr>
          <w:rFonts w:ascii="Times New Roman" w:hAnsi="Times New Roman"/>
          <w:sz w:val="20"/>
          <w:szCs w:val="20"/>
        </w:rPr>
        <w:t>Лиутпранд Кремонский. Посольство в Константинополь к императору Никифору Фоке [Электронный ресурс] // Сайт «Восточ</w:t>
      </w:r>
      <w:r>
        <w:rPr>
          <w:rFonts w:ascii="Times New Roman" w:hAnsi="Times New Roman"/>
          <w:sz w:val="20"/>
          <w:szCs w:val="20"/>
        </w:rPr>
        <w:t xml:space="preserve">ная литература». Режим доступа: </w:t>
      </w:r>
      <w:r w:rsidRPr="007B1333">
        <w:rPr>
          <w:rFonts w:ascii="Times New Roman" w:hAnsi="Times New Roman"/>
          <w:sz w:val="20"/>
          <w:szCs w:val="20"/>
        </w:rPr>
        <w:t>http://www.vostlit.info/Texts/rus/Liut_Kr/frametext3.htm</w:t>
      </w:r>
    </w:p>
    <w:p w:rsidR="00AC33E7" w:rsidRPr="007B1333" w:rsidRDefault="00AC33E7" w:rsidP="007B1333">
      <w:pPr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jc w:val="both"/>
        <w:rPr>
          <w:rFonts w:ascii="Times New Roman" w:hAnsi="Times New Roman"/>
          <w:sz w:val="20"/>
          <w:szCs w:val="20"/>
        </w:rPr>
      </w:pPr>
      <w:r w:rsidRPr="007B1333">
        <w:rPr>
          <w:rFonts w:ascii="Times New Roman" w:hAnsi="Times New Roman"/>
          <w:sz w:val="20"/>
          <w:szCs w:val="20"/>
        </w:rPr>
        <w:t>Новиченкова И.Г. Фибулы из святилища у перевала Гурзуфское Седло // РА. 2000. № 1. С. 154–166.</w:t>
      </w:r>
    </w:p>
    <w:p w:rsidR="00AC33E7" w:rsidRPr="007B1333" w:rsidRDefault="00AC33E7" w:rsidP="007B1333">
      <w:pPr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jc w:val="both"/>
        <w:rPr>
          <w:rFonts w:ascii="Times New Roman" w:hAnsi="Times New Roman"/>
          <w:sz w:val="20"/>
          <w:szCs w:val="20"/>
        </w:rPr>
      </w:pPr>
      <w:r w:rsidRPr="007B1333">
        <w:rPr>
          <w:rFonts w:ascii="Times New Roman" w:hAnsi="Times New Roman"/>
          <w:sz w:val="20"/>
          <w:szCs w:val="20"/>
        </w:rPr>
        <w:t>Румянцева О.С., Щербаков И.Б. Стекло-сырец с поселения Комаров на Среднем Днестре: химический состав и данные о характере и хронологии стеклоделательного комплекса позднеримского времени // Stratum plus. 2016. № 4. С. 299–315.</w:t>
      </w:r>
    </w:p>
    <w:p w:rsidR="00AC33E7" w:rsidRPr="007B1333" w:rsidRDefault="00AC33E7" w:rsidP="007B1333">
      <w:pPr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jc w:val="both"/>
        <w:rPr>
          <w:rFonts w:ascii="Times New Roman" w:hAnsi="Times New Roman"/>
          <w:sz w:val="20"/>
          <w:szCs w:val="20"/>
        </w:rPr>
      </w:pPr>
      <w:r w:rsidRPr="007B1333">
        <w:rPr>
          <w:rFonts w:ascii="Times New Roman" w:hAnsi="Times New Roman"/>
          <w:sz w:val="20"/>
          <w:szCs w:val="20"/>
        </w:rPr>
        <w:t>Я</w:t>
      </w:r>
      <w:bookmarkStart w:id="0" w:name="_GoBack"/>
      <w:bookmarkEnd w:id="0"/>
      <w:r w:rsidRPr="007B1333">
        <w:rPr>
          <w:rFonts w:ascii="Times New Roman" w:hAnsi="Times New Roman"/>
          <w:sz w:val="20"/>
          <w:szCs w:val="20"/>
        </w:rPr>
        <w:t>кобсон А.Л. Отчет о раскопках средневековых сельских поселений в Крыму в 1966 году // НА ГМЗ ХТ. Д. 852.</w:t>
      </w:r>
    </w:p>
    <w:p w:rsidR="00AC33E7" w:rsidRPr="00250169" w:rsidRDefault="00AC33E7" w:rsidP="00250169">
      <w:pPr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jc w:val="both"/>
        <w:rPr>
          <w:rFonts w:ascii="Times New Roman" w:hAnsi="Times New Roman"/>
          <w:sz w:val="20"/>
          <w:szCs w:val="20"/>
          <w:lang w:val="en-US"/>
        </w:rPr>
      </w:pPr>
      <w:r w:rsidRPr="007B1333">
        <w:rPr>
          <w:rFonts w:ascii="Times New Roman" w:hAnsi="Times New Roman"/>
          <w:sz w:val="20"/>
          <w:szCs w:val="20"/>
          <w:lang w:val="en-US"/>
        </w:rPr>
        <w:t>Koryakova L., Epimakhov A. The Urals and Western Siberia in the Bronze and Iron Ages. Cambridge: Cambridge University Press, 2007. 383 p.</w:t>
      </w:r>
    </w:p>
    <w:sectPr w:rsidR="00AC33E7" w:rsidRPr="00250169" w:rsidSect="001F7530">
      <w:pgSz w:w="11906" w:h="16838" w:code="9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A524B16"/>
    <w:multiLevelType w:val="hybridMultilevel"/>
    <w:tmpl w:val="B7A6D4F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5FDD607A"/>
    <w:multiLevelType w:val="hybridMultilevel"/>
    <w:tmpl w:val="C46851BC"/>
    <w:lvl w:ilvl="0" w:tplc="BF18AD7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97CD3"/>
    <w:rsid w:val="00004C6E"/>
    <w:rsid w:val="00006CC4"/>
    <w:rsid w:val="000221EC"/>
    <w:rsid w:val="000505AF"/>
    <w:rsid w:val="00066D7B"/>
    <w:rsid w:val="00115CB4"/>
    <w:rsid w:val="00162A78"/>
    <w:rsid w:val="00163C8F"/>
    <w:rsid w:val="00164A83"/>
    <w:rsid w:val="00175E01"/>
    <w:rsid w:val="001F0257"/>
    <w:rsid w:val="001F7530"/>
    <w:rsid w:val="00221C95"/>
    <w:rsid w:val="00250169"/>
    <w:rsid w:val="002A6803"/>
    <w:rsid w:val="002F0582"/>
    <w:rsid w:val="003E4314"/>
    <w:rsid w:val="00486E5B"/>
    <w:rsid w:val="004B5AD4"/>
    <w:rsid w:val="00576808"/>
    <w:rsid w:val="0064632F"/>
    <w:rsid w:val="00672385"/>
    <w:rsid w:val="006A5A74"/>
    <w:rsid w:val="006B3F89"/>
    <w:rsid w:val="00700956"/>
    <w:rsid w:val="007250DE"/>
    <w:rsid w:val="00727FBF"/>
    <w:rsid w:val="007461C5"/>
    <w:rsid w:val="00782806"/>
    <w:rsid w:val="007B1333"/>
    <w:rsid w:val="007D490B"/>
    <w:rsid w:val="007F65EE"/>
    <w:rsid w:val="008B35DF"/>
    <w:rsid w:val="008C50A4"/>
    <w:rsid w:val="00954852"/>
    <w:rsid w:val="009F4538"/>
    <w:rsid w:val="00A14053"/>
    <w:rsid w:val="00A25434"/>
    <w:rsid w:val="00A621E4"/>
    <w:rsid w:val="00AC33E7"/>
    <w:rsid w:val="00B11210"/>
    <w:rsid w:val="00B9150D"/>
    <w:rsid w:val="00BA016D"/>
    <w:rsid w:val="00C16678"/>
    <w:rsid w:val="00C45A48"/>
    <w:rsid w:val="00C70E9D"/>
    <w:rsid w:val="00CE2CBC"/>
    <w:rsid w:val="00D502CE"/>
    <w:rsid w:val="00D607EF"/>
    <w:rsid w:val="00D97CD3"/>
    <w:rsid w:val="00E4062C"/>
    <w:rsid w:val="00EE746A"/>
    <w:rsid w:val="00EE7A7B"/>
    <w:rsid w:val="00F27D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B1333"/>
    <w:pPr>
      <w:spacing w:after="160" w:line="259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8C50A4"/>
    <w:pPr>
      <w:ind w:left="720"/>
      <w:contextualSpacing/>
    </w:pPr>
  </w:style>
  <w:style w:type="table" w:styleId="TableGrid">
    <w:name w:val="Table Grid"/>
    <w:basedOn w:val="TableNormal"/>
    <w:uiPriority w:val="99"/>
    <w:rsid w:val="008B35DF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390841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https://www.sevsu.ru/images/symbols/logo_4.png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Pages>1</Pages>
  <Words>418</Words>
  <Characters>2386</Characters>
  <Application>Microsoft Office Outlook</Application>
  <DocSecurity>0</DocSecurity>
  <Lines>0</Lines>
  <Paragraphs>0</Paragraphs>
  <ScaleCrop>false</ScaleCrop>
  <Company>SPecialiST RePack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2</dc:title>
  <dc:subject/>
  <dc:creator>Владимир Обливанцов</dc:creator>
  <cp:keywords/>
  <dc:description/>
  <cp:lastModifiedBy>Вадим</cp:lastModifiedBy>
  <cp:revision>2</cp:revision>
  <dcterms:created xsi:type="dcterms:W3CDTF">2020-07-14T07:23:00Z</dcterms:created>
  <dcterms:modified xsi:type="dcterms:W3CDTF">2020-07-14T07:23:00Z</dcterms:modified>
</cp:coreProperties>
</file>