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image/png" PartName="/word/media/1.png"/>
  <Override ContentType="image/png" PartName="/word/media/2.png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0"/>
        <w:ind w:left="0" w:right="-1"/>
        <w:rPr>
          <w:b w:val="1"/>
          <w:sz w:val="28"/>
        </w:rPr>
      </w:pPr>
      <w:r>
        <w:rPr>
          <w:b w:val="1"/>
          <w:sz w:val="28"/>
        </w:rPr>
        <w:t xml:space="preserve">Министерство науки и высшего образования Российской </w:t>
      </w:r>
      <w:r>
        <w:rPr>
          <w:b w:val="1"/>
          <w:color w:val="000000"/>
          <w:sz w:val="28"/>
        </w:rPr>
        <w:t>Ф</w:t>
      </w:r>
      <w:r>
        <w:rPr>
          <w:b w:val="1"/>
          <w:sz w:val="28"/>
        </w:rPr>
        <w:t>едерации</w:t>
      </w:r>
    </w:p>
    <w:p w14:paraId="04000000">
      <w:pPr>
        <w:widowControl w:val="1"/>
        <w:spacing w:after="0"/>
        <w:ind w:left="0" w:right="-1"/>
        <w:rPr>
          <w:b w:val="1"/>
          <w:sz w:val="28"/>
        </w:rPr>
      </w:pPr>
      <w:r>
        <w:rPr>
          <w:b w:val="1"/>
          <w:color w:val="000000"/>
          <w:sz w:val="28"/>
        </w:rPr>
        <w:t>Ф</w:t>
      </w:r>
      <w:r>
        <w:rPr>
          <w:b w:val="1"/>
          <w:sz w:val="28"/>
        </w:rPr>
        <w:t>едеральное государственное бюджетное образовательное учреждение высшего образования</w:t>
      </w:r>
    </w:p>
    <w:p w14:paraId="05000000">
      <w:pPr>
        <w:widowControl w:val="1"/>
        <w:spacing w:after="0"/>
        <w:ind w:left="0" w:right="-1"/>
        <w:rPr>
          <w:b w:val="1"/>
          <w:sz w:val="28"/>
        </w:rPr>
      </w:pPr>
      <w:r>
        <w:rPr>
          <w:b w:val="1"/>
          <w:sz w:val="28"/>
        </w:rPr>
        <w:t>«</w:t>
      </w:r>
      <w:r>
        <w:rPr>
          <w:b w:val="1"/>
          <w:sz w:val="28"/>
        </w:rPr>
        <w:t>А</w:t>
      </w:r>
      <w:r>
        <w:rPr>
          <w:b w:val="1"/>
          <w:sz w:val="28"/>
        </w:rPr>
        <w:t>дыгейский государственный университет»</w:t>
      </w:r>
    </w:p>
    <w:p w14:paraId="06000000">
      <w:pPr>
        <w:widowControl w:val="1"/>
        <w:spacing w:after="0"/>
        <w:ind w:left="0" w:right="-1"/>
        <w:rPr>
          <w:b w:val="1"/>
          <w:sz w:val="28"/>
        </w:rPr>
      </w:pPr>
      <w:r>
        <w:rPr>
          <w:b w:val="1"/>
          <w:sz w:val="28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column">
              <wp:posOffset>-705485</wp:posOffset>
            </wp:positionH>
            <wp:positionV relativeFrom="paragraph">
              <wp:posOffset>106679</wp:posOffset>
            </wp:positionV>
            <wp:extent cx="996950" cy="1009650"/>
            <wp:effectExtent b="0" l="0" r="0" t="0"/>
            <wp:wrapNone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996950" cy="100965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b w:val="1"/>
          <w:sz w:val="28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column">
              <wp:posOffset>5003165</wp:posOffset>
            </wp:positionH>
            <wp:positionV relativeFrom="paragraph">
              <wp:posOffset>81280</wp:posOffset>
            </wp:positionV>
            <wp:extent cx="1016000" cy="1035050"/>
            <wp:effectExtent b="0" l="0" r="0" t="0"/>
            <wp:wrapTight distL="114300" distR="114300" wrapText="bothSides">
              <wp:wrapPolygon>
                <wp:start x="-405" y="0"/>
                <wp:lineTo x="-405" y="21070"/>
                <wp:lineTo x="21465" y="21070"/>
                <wp:lineTo x="21465" y="0"/>
                <wp:lineTo x="-405" y="0"/>
              </wp:wrapPolygon>
            </wp:wrapTight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1016000" cy="103505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b w:val="1"/>
          <w:sz w:val="28"/>
        </w:rPr>
        <w:t xml:space="preserve">                     </w:t>
      </w:r>
      <w:r>
        <w:rPr>
          <w:b w:val="1"/>
          <w:sz w:val="28"/>
        </w:rPr>
        <w:t>И</w:t>
      </w:r>
      <w:r>
        <w:rPr>
          <w:b w:val="1"/>
          <w:sz w:val="28"/>
        </w:rPr>
        <w:t>нститут физической культуры и дзюдо</w:t>
      </w:r>
    </w:p>
    <w:p w14:paraId="07000000">
      <w:pPr>
        <w:widowControl w:val="1"/>
        <w:spacing w:after="0"/>
        <w:ind w:left="0" w:right="-1"/>
        <w:rPr>
          <w:b w:val="1"/>
          <w:sz w:val="28"/>
        </w:rPr>
      </w:pPr>
      <w:r>
        <w:rPr>
          <w:b w:val="1"/>
          <w:sz w:val="28"/>
        </w:rPr>
        <w:t xml:space="preserve">         </w:t>
      </w:r>
      <w:r>
        <w:rPr>
          <w:b w:val="1"/>
          <w:sz w:val="28"/>
        </w:rPr>
        <w:t xml:space="preserve">Кафедра </w:t>
      </w:r>
      <w:r>
        <w:rPr>
          <w:b w:val="1"/>
          <w:sz w:val="28"/>
        </w:rPr>
        <w:t>т</w:t>
      </w:r>
      <w:r>
        <w:rPr>
          <w:b w:val="1"/>
          <w:sz w:val="28"/>
        </w:rPr>
        <w:t>еоретических основ физического воспитания</w:t>
      </w:r>
    </w:p>
    <w:p w14:paraId="08000000">
      <w:pPr>
        <w:widowControl w:val="1"/>
        <w:spacing w:after="0"/>
        <w:ind w:right="-1"/>
        <w:rPr>
          <w:b w:val="1"/>
          <w:sz w:val="28"/>
        </w:rPr>
      </w:pPr>
      <w:r>
        <w:rPr>
          <w:b w:val="1"/>
          <w:sz w:val="28"/>
        </w:rPr>
        <w:t>Студенческое научное общество ИФК и дзюдо</w:t>
      </w:r>
    </w:p>
    <w:p w14:paraId="09000000">
      <w:pPr>
        <w:widowControl w:val="1"/>
        <w:spacing w:after="0"/>
        <w:ind w:left="0" w:right="-1"/>
        <w:rPr>
          <w:b w:val="1"/>
          <w:sz w:val="28"/>
        </w:rPr>
      </w:pPr>
    </w:p>
    <w:p w14:paraId="0A000000">
      <w:pPr>
        <w:widowControl w:val="1"/>
        <w:spacing w:after="0"/>
        <w:ind w:left="0" w:right="-1"/>
        <w:rPr>
          <w:b w:val="1"/>
          <w:sz w:val="28"/>
        </w:rPr>
      </w:pPr>
    </w:p>
    <w:p w14:paraId="0B000000">
      <w:pPr>
        <w:widowControl w:val="1"/>
        <w:spacing w:after="0"/>
        <w:ind/>
        <w:rPr>
          <w:sz w:val="28"/>
        </w:rPr>
      </w:pPr>
      <w:r>
        <w:rPr>
          <w:sz w:val="28"/>
        </w:rPr>
        <w:t>ПОЛОЖЕНИЕ</w:t>
      </w:r>
    </w:p>
    <w:p w14:paraId="0C000000">
      <w:pPr>
        <w:widowControl w:val="1"/>
        <w:spacing w:after="0"/>
        <w:ind/>
        <w:rPr>
          <w:sz w:val="28"/>
        </w:rPr>
      </w:pPr>
    </w:p>
    <w:p w14:paraId="0D000000">
      <w:pPr>
        <w:widowControl w:val="1"/>
        <w:spacing w:after="0"/>
        <w:ind w:left="0"/>
        <w:rPr>
          <w:sz w:val="28"/>
        </w:rPr>
      </w:pPr>
      <w:r>
        <w:rPr>
          <w:sz w:val="28"/>
        </w:rPr>
        <w:t>о Всероссийской научно-практической студенческой конференции</w:t>
      </w:r>
      <w:r>
        <w:rPr>
          <w:sz w:val="28"/>
        </w:rPr>
        <w:t xml:space="preserve"> </w:t>
      </w:r>
      <w:r>
        <w:rPr>
          <w:sz w:val="28"/>
        </w:rPr>
        <w:t>с международным участием</w:t>
      </w:r>
    </w:p>
    <w:p w14:paraId="0E000000">
      <w:pPr>
        <w:widowControl w:val="1"/>
        <w:spacing w:after="0"/>
        <w:ind w:left="0"/>
        <w:rPr>
          <w:sz w:val="28"/>
        </w:rPr>
      </w:pPr>
      <w:r>
        <w:rPr>
          <w:sz w:val="28"/>
        </w:rPr>
        <w:t>«</w:t>
      </w:r>
      <w:r>
        <w:rPr>
          <w:sz w:val="28"/>
        </w:rPr>
        <w:t>Интеграционные процессы в современном образовании»</w:t>
      </w:r>
    </w:p>
    <w:p w14:paraId="0F000000">
      <w:pPr>
        <w:widowControl w:val="1"/>
        <w:spacing w:after="0"/>
        <w:ind/>
        <w:rPr>
          <w:sz w:val="28"/>
        </w:rPr>
      </w:pPr>
    </w:p>
    <w:p w14:paraId="10000000">
      <w:pPr>
        <w:widowControl w:val="1"/>
        <w:spacing w:after="0"/>
        <w:ind/>
        <w:rPr>
          <w:sz w:val="28"/>
        </w:rPr>
      </w:pPr>
      <w:r>
        <w:rPr>
          <w:sz w:val="28"/>
        </w:rPr>
        <w:t>1. Общие положения</w:t>
      </w:r>
    </w:p>
    <w:p w14:paraId="11000000">
      <w:pPr>
        <w:widowControl w:val="1"/>
        <w:spacing w:after="0"/>
        <w:ind w:left="0" w:right="-1"/>
        <w:jc w:val="both"/>
        <w:rPr>
          <w:sz w:val="28"/>
        </w:rPr>
      </w:pPr>
      <w:r>
        <w:rPr>
          <w:sz w:val="28"/>
        </w:rPr>
        <w:t>1.1. Настоящее Положение определяет цели, задачи, порядок организации и проведения Всероссийской научно-практической студенческой конференции «Интеграционные процессы в современном образовании» (далее — Конференция).</w:t>
      </w:r>
    </w:p>
    <w:p w14:paraId="12000000">
      <w:pPr>
        <w:widowControl w:val="1"/>
        <w:spacing w:after="0"/>
        <w:ind w:left="0" w:right="-1"/>
        <w:jc w:val="both"/>
        <w:rPr>
          <w:sz w:val="28"/>
        </w:rPr>
      </w:pPr>
      <w:r>
        <w:rPr>
          <w:sz w:val="28"/>
        </w:rPr>
        <w:t>1.2. Организатором Конференции является Институт физической культуры и дзюдо Адыгейского государственного университета.</w:t>
      </w:r>
    </w:p>
    <w:p w14:paraId="13000000">
      <w:pPr>
        <w:widowControl w:val="1"/>
        <w:spacing w:after="0"/>
        <w:ind w:left="0" w:right="-1"/>
        <w:jc w:val="both"/>
        <w:rPr>
          <w:sz w:val="28"/>
        </w:rPr>
      </w:pPr>
      <w:r>
        <w:rPr>
          <w:sz w:val="28"/>
        </w:rPr>
        <w:t>1.3. Дата проведения: 28 октября 2026 года.</w:t>
      </w:r>
    </w:p>
    <w:p w14:paraId="14000000">
      <w:pPr>
        <w:widowControl w:val="1"/>
        <w:spacing w:after="0"/>
        <w:ind w:left="0" w:right="-1"/>
        <w:jc w:val="both"/>
        <w:rPr>
          <w:sz w:val="28"/>
        </w:rPr>
      </w:pPr>
      <w:r>
        <w:rPr>
          <w:sz w:val="28"/>
        </w:rPr>
        <w:t>1.4. Формат проведения: смешанный (очный с возможностью дистанционного подключения для иногородних участников).</w:t>
      </w:r>
    </w:p>
    <w:p w14:paraId="15000000">
      <w:pPr>
        <w:widowControl w:val="1"/>
        <w:spacing w:after="0"/>
        <w:ind w:left="0" w:right="-1"/>
        <w:jc w:val="both"/>
        <w:rPr>
          <w:sz w:val="28"/>
        </w:rPr>
      </w:pPr>
      <w:r>
        <w:rPr>
          <w:sz w:val="28"/>
        </w:rPr>
        <w:t>1.5. Конференция проводится как научно-практическое мероприятие, нацеленное на обсуждение ключевых тенденций объединения и взаимопроникновения различных образовательных систем, технологий и дисциплин в условиях глобализации и цифровой трансформации.</w:t>
      </w:r>
    </w:p>
    <w:p w14:paraId="16000000">
      <w:pPr>
        <w:widowControl w:val="1"/>
        <w:spacing w:after="0"/>
        <w:ind/>
        <w:rPr>
          <w:sz w:val="6"/>
        </w:rPr>
      </w:pPr>
    </w:p>
    <w:p w14:paraId="17000000">
      <w:pPr>
        <w:widowControl w:val="1"/>
        <w:spacing w:after="0"/>
        <w:ind/>
        <w:rPr>
          <w:sz w:val="28"/>
        </w:rPr>
      </w:pPr>
      <w:r>
        <w:rPr>
          <w:sz w:val="28"/>
        </w:rPr>
        <w:t>2. Цели и задачи, тематика Конференции</w:t>
      </w:r>
    </w:p>
    <w:p w14:paraId="18000000">
      <w:pPr>
        <w:widowControl w:val="1"/>
        <w:spacing w:after="0"/>
        <w:ind w:left="0" w:right="-1"/>
        <w:jc w:val="both"/>
        <w:rPr>
          <w:sz w:val="28"/>
        </w:rPr>
      </w:pPr>
      <w:r>
        <w:rPr>
          <w:sz w:val="28"/>
        </w:rPr>
        <w:t>2.1. Цель: создание платформы для обмена научным опытом между студентами российских вузов по вопросам модернизации образования.</w:t>
      </w:r>
    </w:p>
    <w:p w14:paraId="19000000">
      <w:pPr>
        <w:widowControl w:val="1"/>
        <w:spacing w:after="0"/>
        <w:ind w:left="0" w:right="-1"/>
        <w:jc w:val="both"/>
        <w:rPr>
          <w:sz w:val="28"/>
        </w:rPr>
      </w:pPr>
      <w:r>
        <w:rPr>
          <w:sz w:val="28"/>
        </w:rPr>
        <w:t>2.2. Задачи:</w:t>
      </w:r>
    </w:p>
    <w:p w14:paraId="1A000000">
      <w:pPr>
        <w:widowControl w:val="1"/>
        <w:spacing w:after="0"/>
        <w:ind w:left="0" w:right="-1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>
        <w:rPr>
          <w:color w:val="000000"/>
          <w:sz w:val="28"/>
        </w:rPr>
        <w:t>Стимулирование научно-исследовательской активности студентов в области педагогики, психологии, социальных и гуманитарных наук.</w:t>
      </w:r>
    </w:p>
    <w:p w14:paraId="1B000000">
      <w:pPr>
        <w:widowControl w:val="1"/>
        <w:spacing w:after="0"/>
        <w:ind w:left="0" w:right="-1"/>
        <w:jc w:val="both"/>
        <w:rPr>
          <w:color w:val="000000"/>
          <w:sz w:val="28"/>
        </w:rPr>
      </w:pPr>
      <w:r>
        <w:rPr>
          <w:color w:val="000000"/>
          <w:sz w:val="28"/>
        </w:rPr>
        <w:t>- Выявление и поддержка талантливой молодежи, вовлечение перспективных авторов в научные проекты университета.</w:t>
      </w:r>
    </w:p>
    <w:p w14:paraId="1C000000">
      <w:pPr>
        <w:widowControl w:val="1"/>
        <w:spacing w:after="0"/>
        <w:ind w:left="0" w:right="-1"/>
        <w:jc w:val="both"/>
        <w:rPr>
          <w:color w:val="000000"/>
          <w:sz w:val="28"/>
        </w:rPr>
      </w:pPr>
      <w:r>
        <w:rPr>
          <w:color w:val="000000"/>
          <w:sz w:val="28"/>
        </w:rPr>
        <w:t>- Обмен передовым опытом интеграции образовательных систем, цифровых технологий и междисциплинарных подходов.</w:t>
      </w:r>
    </w:p>
    <w:p w14:paraId="1D000000">
      <w:pPr>
        <w:widowControl w:val="1"/>
        <w:spacing w:after="0"/>
        <w:ind w:left="0" w:right="-1"/>
        <w:jc w:val="both"/>
        <w:rPr>
          <w:color w:val="000000"/>
          <w:sz w:val="28"/>
        </w:rPr>
      </w:pPr>
      <w:r>
        <w:rPr>
          <w:color w:val="000000"/>
          <w:sz w:val="28"/>
        </w:rPr>
        <w:t>- Анализ влияния процессов цифровизации на современные модели обучения и воспитания.</w:t>
      </w:r>
    </w:p>
    <w:p w14:paraId="1E000000">
      <w:pPr>
        <w:widowControl w:val="1"/>
        <w:spacing w:after="0"/>
        <w:ind w:left="0" w:right="-1"/>
        <w:jc w:val="both"/>
        <w:rPr>
          <w:color w:val="000000"/>
          <w:sz w:val="28"/>
        </w:rPr>
      </w:pPr>
      <w:r>
        <w:rPr>
          <w:color w:val="000000"/>
          <w:sz w:val="28"/>
        </w:rPr>
        <w:t>- Развитие партнерских отношений между АГУ и другими образовательными организациями РФ.</w:t>
      </w:r>
    </w:p>
    <w:p w14:paraId="1F000000">
      <w:pPr>
        <w:widowControl w:val="1"/>
        <w:spacing w:after="0"/>
        <w:ind w:left="0" w:right="-1"/>
        <w:jc w:val="both"/>
        <w:rPr>
          <w:color w:val="000000"/>
          <w:sz w:val="28"/>
        </w:rPr>
      </w:pPr>
      <w:r>
        <w:rPr>
          <w:color w:val="000000"/>
          <w:sz w:val="28"/>
        </w:rPr>
        <w:t>- Трансляция лучших студенческих разработок в реальную практику образовательных, социальных и спортивных организаций.</w:t>
      </w:r>
    </w:p>
    <w:p w14:paraId="20000000">
      <w:pPr>
        <w:widowControl w:val="1"/>
        <w:spacing w:after="0"/>
        <w:ind w:left="0" w:right="-1"/>
        <w:jc w:val="both"/>
        <w:rPr>
          <w:sz w:val="16"/>
        </w:rPr>
      </w:pPr>
    </w:p>
    <w:p w14:paraId="21000000">
      <w:pPr>
        <w:widowControl w:val="1"/>
        <w:spacing w:after="0"/>
        <w:ind w:left="0" w:right="-1"/>
        <w:jc w:val="both"/>
        <w:rPr>
          <w:sz w:val="28"/>
        </w:rPr>
      </w:pPr>
      <w:r>
        <w:rPr>
          <w:sz w:val="28"/>
        </w:rPr>
        <w:t>3.</w:t>
      </w:r>
      <w:r>
        <w:rPr>
          <w:sz w:val="28"/>
        </w:rPr>
        <w:t>Направления</w:t>
      </w:r>
      <w:r>
        <w:rPr>
          <w:sz w:val="28"/>
        </w:rPr>
        <w:t xml:space="preserve"> Конференции:</w:t>
      </w:r>
    </w:p>
    <w:p w14:paraId="22000000">
      <w:pPr>
        <w:widowControl w:val="1"/>
        <w:spacing w:after="0"/>
        <w:ind w:left="0" w:right="-1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>
        <w:rPr>
          <w:color w:val="000000"/>
          <w:sz w:val="28"/>
        </w:rPr>
        <w:t>Цифровая интеграция и новые форматы в гуманитарном и педагогическом образовании</w:t>
      </w:r>
      <w:r>
        <w:rPr>
          <w:color w:val="000000"/>
          <w:sz w:val="28"/>
        </w:rPr>
        <w:t>.</w:t>
      </w:r>
    </w:p>
    <w:p w14:paraId="23000000">
      <w:pPr>
        <w:widowControl w:val="1"/>
        <w:spacing w:after="0"/>
        <w:ind w:left="0" w:right="-1"/>
        <w:jc w:val="both"/>
        <w:rPr>
          <w:color w:val="000000"/>
          <w:sz w:val="28"/>
        </w:rPr>
      </w:pPr>
      <w:r>
        <w:rPr>
          <w:color w:val="000000"/>
          <w:sz w:val="28"/>
        </w:rPr>
        <w:t>-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Междисциплинарность</w:t>
      </w:r>
      <w:r>
        <w:rPr>
          <w:color w:val="000000"/>
          <w:sz w:val="28"/>
        </w:rPr>
        <w:t xml:space="preserve"> и практико-ориентированная интеграция в обучении</w:t>
      </w:r>
      <w:r>
        <w:rPr>
          <w:color w:val="000000"/>
          <w:sz w:val="28"/>
        </w:rPr>
        <w:t>.</w:t>
      </w:r>
    </w:p>
    <w:p w14:paraId="24000000">
      <w:pPr>
        <w:widowControl w:val="1"/>
        <w:spacing w:after="0"/>
        <w:ind w:left="0" w:right="-1"/>
        <w:jc w:val="both"/>
        <w:rPr>
          <w:color w:val="000000"/>
          <w:sz w:val="28"/>
        </w:rPr>
      </w:pPr>
      <w:r>
        <w:rPr>
          <w:color w:val="000000"/>
          <w:sz w:val="28"/>
        </w:rPr>
        <w:t>- Современные стратегии и технологии воспитания (ценностный, гражданский и патриотический аспекты)</w:t>
      </w:r>
      <w:r>
        <w:rPr>
          <w:color w:val="FF0000"/>
          <w:sz w:val="28"/>
        </w:rPr>
        <w:t>.</w:t>
      </w:r>
    </w:p>
    <w:p w14:paraId="25000000">
      <w:pPr>
        <w:widowControl w:val="1"/>
        <w:spacing w:after="0"/>
        <w:ind w:left="142" w:right="-1"/>
        <w:jc w:val="both"/>
        <w:rPr>
          <w:color w:val="000000"/>
          <w:sz w:val="28"/>
        </w:rPr>
      </w:pPr>
      <w:r>
        <w:rPr>
          <w:color w:val="000000"/>
          <w:sz w:val="28"/>
        </w:rPr>
        <w:t>- Непрерывность образования: преемственность уровней «Шко</w:t>
      </w:r>
      <w:r>
        <w:rPr>
          <w:color w:val="000000"/>
          <w:sz w:val="28"/>
        </w:rPr>
        <w:t>л-</w:t>
      </w:r>
      <w:r>
        <w:rPr>
          <w:color w:val="000000"/>
          <w:sz w:val="28"/>
        </w:rPr>
        <w:t xml:space="preserve"> СПО – Вуз»</w:t>
      </w:r>
      <w:r>
        <w:rPr>
          <w:color w:val="FF0000"/>
          <w:sz w:val="28"/>
        </w:rPr>
        <w:t>.</w:t>
      </w:r>
    </w:p>
    <w:p w14:paraId="26000000">
      <w:pPr>
        <w:widowControl w:val="1"/>
        <w:spacing w:after="0"/>
        <w:ind w:left="0" w:right="141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Психолого-педагогическая поддержка и </w:t>
      </w:r>
      <w:r>
        <w:rPr>
          <w:color w:val="000000"/>
          <w:sz w:val="28"/>
        </w:rPr>
        <w:t>здоровьесбережение</w:t>
      </w:r>
      <w:r>
        <w:rPr>
          <w:color w:val="000000"/>
          <w:sz w:val="28"/>
        </w:rPr>
        <w:t xml:space="preserve"> участников образовательного процесса.</w:t>
      </w:r>
    </w:p>
    <w:p w14:paraId="27000000">
      <w:pPr>
        <w:widowControl w:val="1"/>
        <w:spacing w:after="0"/>
        <w:ind w:left="0" w:right="141"/>
        <w:jc w:val="both"/>
        <w:rPr>
          <w:color w:val="FF0000"/>
          <w:sz w:val="28"/>
        </w:rPr>
      </w:pPr>
      <w:r>
        <w:rPr>
          <w:color w:val="000000"/>
          <w:sz w:val="28"/>
        </w:rPr>
        <w:t xml:space="preserve">- </w:t>
      </w:r>
      <w:r>
        <w:rPr>
          <w:color w:val="000000"/>
          <w:sz w:val="28"/>
        </w:rPr>
        <w:t xml:space="preserve">Интеграционный потенциал физической культуры, спорта и </w:t>
      </w:r>
      <w:r>
        <w:rPr>
          <w:color w:val="000000"/>
          <w:sz w:val="28"/>
        </w:rPr>
        <w:t>здоровьесбережения</w:t>
      </w:r>
      <w:r>
        <w:rPr>
          <w:color w:val="000000"/>
          <w:sz w:val="28"/>
        </w:rPr>
        <w:t xml:space="preserve"> в формировании личности</w:t>
      </w:r>
      <w:r>
        <w:rPr>
          <w:color w:val="000000"/>
          <w:sz w:val="28"/>
        </w:rPr>
        <w:t>.</w:t>
      </w:r>
    </w:p>
    <w:p w14:paraId="28000000">
      <w:pPr>
        <w:widowControl w:val="1"/>
        <w:spacing w:after="0"/>
        <w:ind w:left="0" w:right="141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Интеграционный потенциал физической культуры, спорта и ЗОЖ в формировании личности (спортивная педагогика, психология спорта, цифровые </w:t>
      </w:r>
      <w:r>
        <w:rPr>
          <w:color w:val="000000"/>
          <w:sz w:val="28"/>
        </w:rPr>
        <w:t>трекеры</w:t>
      </w:r>
      <w:r>
        <w:rPr>
          <w:color w:val="000000"/>
          <w:sz w:val="28"/>
        </w:rPr>
        <w:t xml:space="preserve"> здоровья и т.д.).</w:t>
      </w:r>
    </w:p>
    <w:p w14:paraId="29000000">
      <w:pPr>
        <w:widowControl w:val="1"/>
        <w:spacing w:after="0"/>
        <w:ind w:left="0" w:right="141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>
        <w:rPr>
          <w:color w:val="000000"/>
          <w:sz w:val="28"/>
        </w:rPr>
        <w:t>Повышение качества подготовки специалистов образования, физической культуры и спорта: современные подходы, вызовы и технологии</w:t>
      </w:r>
      <w:r>
        <w:rPr>
          <w:color w:val="000000"/>
          <w:sz w:val="28"/>
        </w:rPr>
        <w:t>.</w:t>
      </w:r>
    </w:p>
    <w:p w14:paraId="2A000000">
      <w:pPr>
        <w:widowControl w:val="1"/>
        <w:spacing w:after="0"/>
        <w:ind/>
        <w:rPr>
          <w:sz w:val="6"/>
        </w:rPr>
      </w:pPr>
    </w:p>
    <w:p w14:paraId="2B000000">
      <w:pPr>
        <w:widowControl w:val="1"/>
        <w:spacing w:after="0"/>
        <w:ind/>
        <w:rPr>
          <w:sz w:val="28"/>
        </w:rPr>
      </w:pPr>
      <w:r>
        <w:rPr>
          <w:sz w:val="28"/>
        </w:rPr>
        <w:t>4. Участники Конференции</w:t>
      </w:r>
    </w:p>
    <w:p w14:paraId="2C000000">
      <w:pPr>
        <w:widowControl w:val="1"/>
        <w:spacing w:after="0"/>
        <w:ind w:left="0" w:right="-1"/>
        <w:jc w:val="both"/>
        <w:rPr>
          <w:sz w:val="28"/>
        </w:rPr>
      </w:pPr>
      <w:r>
        <w:rPr>
          <w:sz w:val="28"/>
        </w:rPr>
        <w:t>4.1. К участию приглашаются студенты бакалавриата, специалитета и магистратуры высших учебных заведений, аспиранты.</w:t>
      </w:r>
    </w:p>
    <w:p w14:paraId="2D000000">
      <w:pPr>
        <w:widowControl w:val="1"/>
        <w:spacing w:after="0"/>
        <w:ind w:left="0" w:right="-1"/>
        <w:jc w:val="both"/>
        <w:rPr>
          <w:sz w:val="28"/>
        </w:rPr>
      </w:pPr>
      <w:r>
        <w:rPr>
          <w:sz w:val="28"/>
        </w:rPr>
        <w:t>4.2. Участие возможно в двух формах: выступлен</w:t>
      </w:r>
      <w:r>
        <w:rPr>
          <w:sz w:val="28"/>
        </w:rPr>
        <w:t>ие с докладом (</w:t>
      </w:r>
      <w:r>
        <w:rPr>
          <w:sz w:val="28"/>
        </w:rPr>
        <w:t>очно</w:t>
      </w:r>
      <w:r>
        <w:rPr>
          <w:sz w:val="28"/>
        </w:rPr>
        <w:t xml:space="preserve"> или </w:t>
      </w:r>
      <w:r>
        <w:rPr>
          <w:sz w:val="28"/>
        </w:rPr>
        <w:t>онлайн</w:t>
      </w:r>
      <w:r>
        <w:rPr>
          <w:sz w:val="28"/>
        </w:rPr>
        <w:t>).</w:t>
      </w:r>
    </w:p>
    <w:p w14:paraId="2E000000">
      <w:pPr>
        <w:widowControl w:val="1"/>
        <w:spacing w:after="0"/>
        <w:ind/>
        <w:rPr>
          <w:sz w:val="28"/>
        </w:rPr>
      </w:pPr>
      <w:r>
        <w:rPr>
          <w:sz w:val="28"/>
        </w:rPr>
        <w:t>5. Порядок проведения и условия участия</w:t>
      </w:r>
    </w:p>
    <w:p w14:paraId="2F000000">
      <w:pPr>
        <w:widowControl w:val="1"/>
        <w:spacing w:after="0"/>
        <w:ind w:left="0" w:right="-1"/>
        <w:jc w:val="both"/>
        <w:rPr>
          <w:sz w:val="28"/>
        </w:rPr>
      </w:pPr>
      <w:r>
        <w:rPr>
          <w:sz w:val="28"/>
        </w:rPr>
        <w:t xml:space="preserve">5.1. </w:t>
      </w:r>
      <w:r>
        <w:rPr>
          <w:sz w:val="28"/>
        </w:rPr>
        <w:t xml:space="preserve">Для участия в конференции необходимо подать заявку на портале Ломоносов, авторизоваться, найти мероприятие в научном календаре (расширенный поиск – г. Майкоп, </w:t>
      </w:r>
      <w:r>
        <w:rPr>
          <w:rStyle w:val="Style_2_ch"/>
          <w:sz w:val="28"/>
        </w:rPr>
        <w:fldChar w:fldCharType="begin"/>
      </w:r>
      <w:r>
        <w:rPr>
          <w:rStyle w:val="Style_2_ch"/>
          <w:sz w:val="28"/>
        </w:rPr>
        <w:instrText>HYPERLINK "https://confhub.ru/rus/event/10690/"</w:instrText>
      </w:r>
      <w:r>
        <w:rPr>
          <w:rStyle w:val="Style_2_ch"/>
          <w:sz w:val="28"/>
        </w:rPr>
        <w:fldChar w:fldCharType="separate"/>
      </w:r>
      <w:r>
        <w:rPr>
          <w:rStyle w:val="Style_2_ch"/>
          <w:sz w:val="28"/>
        </w:rPr>
        <w:t>https://confhub.ru/rus/event/10690/</w:t>
      </w:r>
      <w:r>
        <w:rPr>
          <w:rStyle w:val="Style_2_ch"/>
          <w:sz w:val="28"/>
        </w:rPr>
        <w:fldChar w:fldCharType="end"/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),</w:t>
      </w:r>
      <w:r>
        <w:rPr>
          <w:sz w:val="28"/>
        </w:rPr>
        <w:t xml:space="preserve"> заполнить электронную форму и прикрепить тезисы (требования к оформлению содержатся в приложении 1). Начало регистрации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1 октября</w:t>
      </w:r>
      <w:r>
        <w:rPr>
          <w:sz w:val="28"/>
        </w:rPr>
        <w:t xml:space="preserve"> 2026 г. Регистрация продлится до </w:t>
      </w:r>
      <w:r>
        <w:rPr>
          <w:sz w:val="28"/>
        </w:rPr>
        <w:t>2</w:t>
      </w:r>
      <w:r>
        <w:rPr>
          <w:sz w:val="28"/>
        </w:rPr>
        <w:t xml:space="preserve">0 </w:t>
      </w:r>
      <w:r>
        <w:rPr>
          <w:sz w:val="28"/>
        </w:rPr>
        <w:t>октября</w:t>
      </w:r>
      <w:r>
        <w:rPr>
          <w:sz w:val="28"/>
        </w:rPr>
        <w:t xml:space="preserve"> 2026 г. (включительно).</w:t>
      </w:r>
    </w:p>
    <w:p w14:paraId="30000000">
      <w:pPr>
        <w:widowControl w:val="1"/>
        <w:spacing w:after="0"/>
        <w:ind w:left="0" w:right="-1"/>
        <w:jc w:val="both"/>
        <w:rPr>
          <w:sz w:val="28"/>
        </w:rPr>
      </w:pPr>
      <w:r>
        <w:rPr>
          <w:sz w:val="28"/>
        </w:rPr>
        <w:t>5.2. Программа Конференции будет сформирована и разослана участникам до 2</w:t>
      </w:r>
      <w:r>
        <w:rPr>
          <w:sz w:val="28"/>
        </w:rPr>
        <w:t>5</w:t>
      </w:r>
      <w:r>
        <w:rPr>
          <w:sz w:val="28"/>
        </w:rPr>
        <w:t xml:space="preserve"> октября 2026 года.</w:t>
      </w:r>
      <w:r>
        <w:rPr>
          <w:sz w:val="28"/>
        </w:rPr>
        <w:t xml:space="preserve"> </w:t>
      </w:r>
      <w:r>
        <w:rPr>
          <w:sz w:val="28"/>
        </w:rPr>
        <w:t>Для иногородних участников предусмотрена возможность онлайн-выступления (ссылки для подключения будут направлены на электронную почту участникам).</w:t>
      </w:r>
    </w:p>
    <w:p w14:paraId="31000000">
      <w:pPr>
        <w:widowControl w:val="1"/>
        <w:spacing w:after="0"/>
        <w:ind w:left="0" w:right="-1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5.3 </w:t>
      </w:r>
      <w:r>
        <w:rPr>
          <w:sz w:val="28"/>
        </w:rPr>
        <w:t>Материалы участников, рекомендованные редакционной коллегией, будут опубликованы в сборнике материалов конференции (РИНЦ).</w:t>
      </w:r>
      <w:r>
        <w:rPr>
          <w:sz w:val="28"/>
        </w:rPr>
        <w:t xml:space="preserve"> </w:t>
      </w:r>
      <w:r>
        <w:rPr>
          <w:color w:val="000000"/>
          <w:sz w:val="28"/>
        </w:rPr>
        <w:t xml:space="preserve">Тезисы докладов принимаются в объеме до 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 xml:space="preserve"> страниц.</w:t>
      </w:r>
    </w:p>
    <w:p w14:paraId="32000000">
      <w:pPr>
        <w:widowControl w:val="1"/>
        <w:spacing w:after="0"/>
        <w:ind/>
        <w:rPr>
          <w:sz w:val="6"/>
        </w:rPr>
      </w:pPr>
    </w:p>
    <w:p w14:paraId="33000000">
      <w:pPr>
        <w:widowControl w:val="1"/>
        <w:spacing w:after="0"/>
        <w:ind/>
        <w:rPr>
          <w:sz w:val="28"/>
        </w:rPr>
      </w:pPr>
      <w:r>
        <w:rPr>
          <w:sz w:val="28"/>
        </w:rPr>
        <w:t>6. Организационный комитет</w:t>
      </w:r>
    </w:p>
    <w:p w14:paraId="34000000">
      <w:pPr>
        <w:widowControl w:val="1"/>
        <w:spacing w:after="0"/>
        <w:ind w:left="0" w:right="-1"/>
        <w:jc w:val="both"/>
        <w:rPr>
          <w:sz w:val="28"/>
        </w:rPr>
      </w:pPr>
      <w:r>
        <w:rPr>
          <w:sz w:val="28"/>
        </w:rPr>
        <w:t>6.1. Для подготовки и проведения Конференции создается Оргкомитет из числа профессорско-преподавательского состава Института физической культуры и дзюдо.</w:t>
      </w:r>
    </w:p>
    <w:p w14:paraId="35000000">
      <w:pPr>
        <w:widowControl w:val="1"/>
        <w:spacing w:after="0"/>
        <w:ind w:left="0" w:right="-1"/>
        <w:jc w:val="both"/>
        <w:rPr>
          <w:sz w:val="28"/>
        </w:rPr>
      </w:pPr>
      <w:r>
        <w:rPr>
          <w:sz w:val="28"/>
        </w:rPr>
        <w:t xml:space="preserve">6.2. Председатель Оргкомитета: директор Института физической культуры и дзюдо, к.п.н., доцент Ахтаов Руслан </w:t>
      </w:r>
      <w:r>
        <w:rPr>
          <w:sz w:val="28"/>
        </w:rPr>
        <w:t>Ахмедович</w:t>
      </w:r>
      <w:r>
        <w:rPr>
          <w:sz w:val="28"/>
        </w:rPr>
        <w:t>.</w:t>
      </w:r>
    </w:p>
    <w:p w14:paraId="36000000">
      <w:pPr>
        <w:widowControl w:val="1"/>
        <w:spacing w:after="0"/>
        <w:ind w:left="0" w:right="-1"/>
        <w:jc w:val="both"/>
        <w:rPr>
          <w:sz w:val="28"/>
        </w:rPr>
      </w:pPr>
      <w:r>
        <w:rPr>
          <w:sz w:val="28"/>
        </w:rPr>
        <w:t xml:space="preserve">6.3. Сопредседатель: д.п.н., профессор </w:t>
      </w:r>
      <w:r>
        <w:rPr>
          <w:sz w:val="28"/>
        </w:rPr>
        <w:t>Бегидова</w:t>
      </w:r>
      <w:r>
        <w:rPr>
          <w:sz w:val="28"/>
        </w:rPr>
        <w:t xml:space="preserve"> Светлана Николаевна</w:t>
      </w:r>
      <w:r>
        <w:rPr>
          <w:color w:val="000000"/>
          <w:sz w:val="28"/>
        </w:rPr>
        <w:t>.</w:t>
      </w:r>
    </w:p>
    <w:p w14:paraId="37000000">
      <w:pPr>
        <w:widowControl w:val="1"/>
        <w:spacing w:after="0"/>
        <w:ind w:left="0" w:right="-1"/>
        <w:jc w:val="both"/>
        <w:rPr>
          <w:sz w:val="28"/>
        </w:rPr>
      </w:pPr>
      <w:r>
        <w:rPr>
          <w:sz w:val="28"/>
        </w:rPr>
        <w:t xml:space="preserve">6.4. </w:t>
      </w:r>
      <w:r>
        <w:rPr>
          <w:sz w:val="28"/>
        </w:rPr>
        <w:t>Члены Оргкомитета: к.п.н., доцент Коломийцева Наталья Сергеевна</w:t>
      </w:r>
      <w:r>
        <w:rPr>
          <w:sz w:val="28"/>
        </w:rPr>
        <w:t>;</w:t>
      </w:r>
      <w:r>
        <w:rPr>
          <w:sz w:val="28"/>
        </w:rPr>
        <w:t xml:space="preserve"> к.п.н., доцент Иоакимиди Юлия Александровна</w:t>
      </w:r>
      <w:r>
        <w:rPr>
          <w:sz w:val="28"/>
        </w:rPr>
        <w:t>;</w:t>
      </w:r>
      <w:r>
        <w:rPr>
          <w:sz w:val="28"/>
        </w:rPr>
        <w:t xml:space="preserve"> к.п.н., доцент </w:t>
      </w:r>
      <w:r>
        <w:rPr>
          <w:sz w:val="28"/>
        </w:rPr>
        <w:t>Джабатырова</w:t>
      </w:r>
      <w:r>
        <w:rPr>
          <w:sz w:val="28"/>
        </w:rPr>
        <w:t xml:space="preserve"> </w:t>
      </w:r>
      <w:r>
        <w:rPr>
          <w:sz w:val="28"/>
        </w:rPr>
        <w:t>Б</w:t>
      </w:r>
      <w:r>
        <w:rPr>
          <w:color w:val="000000"/>
          <w:sz w:val="28"/>
        </w:rPr>
        <w:t>э</w:t>
      </w:r>
      <w:r>
        <w:rPr>
          <w:sz w:val="28"/>
        </w:rPr>
        <w:t>лла</w:t>
      </w:r>
      <w:r>
        <w:rPr>
          <w:sz w:val="28"/>
        </w:rPr>
        <w:t xml:space="preserve"> </w:t>
      </w:r>
      <w:r>
        <w:rPr>
          <w:sz w:val="28"/>
        </w:rPr>
        <w:t>Казбековна</w:t>
      </w:r>
      <w:r>
        <w:rPr>
          <w:sz w:val="28"/>
        </w:rPr>
        <w:t xml:space="preserve">; председатель СНО ИФК и дзюдо Афанасьев Максим Александрович, магистрант 2 курса; член СНО ИФК и дзюдо, студентка 4 курса </w:t>
      </w:r>
      <w:r>
        <w:rPr>
          <w:sz w:val="28"/>
        </w:rPr>
        <w:t>Москалец</w:t>
      </w:r>
      <w:r>
        <w:rPr>
          <w:sz w:val="28"/>
        </w:rPr>
        <w:t xml:space="preserve"> Валерия Александровна; член СНО ИФК и дзюдо, студентка 3 курса Брюханова Дарья Викторовна; член СНО ИФК и дзюдо, студентка 3 курса Титкова Юлия Сергеевна;</w:t>
      </w:r>
      <w:r>
        <w:rPr>
          <w:sz w:val="28"/>
        </w:rPr>
        <w:t xml:space="preserve"> член СНО ИФК и дзюдо, студентка 2 курса </w:t>
      </w:r>
      <w:r>
        <w:rPr>
          <w:sz w:val="28"/>
        </w:rPr>
        <w:t>Оганова</w:t>
      </w:r>
      <w:r>
        <w:rPr>
          <w:sz w:val="28"/>
        </w:rPr>
        <w:t xml:space="preserve"> </w:t>
      </w:r>
      <w:r>
        <w:rPr>
          <w:sz w:val="28"/>
        </w:rPr>
        <w:t>Карина</w:t>
      </w:r>
      <w:r>
        <w:rPr>
          <w:sz w:val="28"/>
        </w:rPr>
        <w:t xml:space="preserve"> Григорьевна.</w:t>
      </w:r>
    </w:p>
    <w:p w14:paraId="38000000">
      <w:pPr>
        <w:widowControl w:val="1"/>
        <w:spacing w:after="0"/>
        <w:ind w:left="0"/>
        <w:rPr>
          <w:sz w:val="6"/>
        </w:rPr>
      </w:pPr>
    </w:p>
    <w:p w14:paraId="39000000">
      <w:pPr>
        <w:widowControl w:val="1"/>
        <w:spacing w:after="0"/>
        <w:ind w:left="0"/>
        <w:rPr>
          <w:sz w:val="28"/>
        </w:rPr>
      </w:pPr>
      <w:r>
        <w:rPr>
          <w:sz w:val="28"/>
        </w:rPr>
        <w:t>7. Подведение итогов и награждение</w:t>
      </w:r>
    </w:p>
    <w:p w14:paraId="3A000000">
      <w:pPr>
        <w:widowControl w:val="1"/>
        <w:spacing w:after="0"/>
        <w:ind w:left="0" w:right="-1"/>
        <w:jc w:val="both"/>
        <w:rPr>
          <w:sz w:val="28"/>
        </w:rPr>
      </w:pPr>
      <w:r>
        <w:rPr>
          <w:sz w:val="28"/>
        </w:rPr>
        <w:t>7</w:t>
      </w:r>
      <w:r>
        <w:rPr>
          <w:sz w:val="28"/>
        </w:rPr>
        <w:t xml:space="preserve">.1. Оценка выступлений осуществляется Экспертным советом по критериям: актуальность, научная новизна, практическая значимость, качество презентации. Экспертный совет, в который входят преподаватели профильных кафедр, проводит комплексную оценку докладов. По каждому из критериев применяется балльная шкала (от 1 до 10), что позволяет сделать отбор максимально объективным. Отдельно учитывается способность докладчика аргументированно отвечать на вопросы: это влияет на итоговый балл по критерию «качество презентации». Для прозрачности процедуры протоколы заседаний секций с оценками и краткими обоснованиями публикуются в закрытом канале мероприятия </w:t>
      </w:r>
      <w:r>
        <w:rPr>
          <w:sz w:val="28"/>
        </w:rPr>
        <w:t>-</w:t>
      </w:r>
      <w:r>
        <w:rPr>
          <w:sz w:val="28"/>
        </w:rPr>
        <w:t xml:space="preserve"> доступ есть у участников и их научных руководителей.</w:t>
      </w:r>
    </w:p>
    <w:p w14:paraId="3B000000">
      <w:pPr>
        <w:widowControl w:val="1"/>
        <w:spacing w:after="0"/>
        <w:ind w:left="0" w:right="-1"/>
        <w:jc w:val="both"/>
        <w:rPr>
          <w:sz w:val="28"/>
        </w:rPr>
      </w:pPr>
      <w:r>
        <w:rPr>
          <w:sz w:val="28"/>
        </w:rPr>
        <w:t xml:space="preserve">7.2. По итогам работы секций определяются победители (I, II, III место), которые награждаются дипломами. Места распределяются на основании суммарного балла по всем критериям. В каждой секции присуждаются три призовых места; если баллы у нескольких участников совпадают, экспертный совет проводит дополнительное обсуждение и учитывает дополнительные критерии (уровень проработки практической части, оригинальность подхода). </w:t>
      </w:r>
    </w:p>
    <w:p w14:paraId="3C000000">
      <w:pPr>
        <w:widowControl w:val="1"/>
        <w:spacing w:after="0"/>
        <w:ind w:left="0" w:right="-1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7.3. </w:t>
      </w:r>
      <w:r>
        <w:rPr>
          <w:color w:val="000000"/>
          <w:sz w:val="28"/>
        </w:rPr>
        <w:t>Лучшие доклады будут рекомендованы к публикации в научном журнале университета или к участию в федеральных конкурсах студенческих научных работ. Рекомендация формируется на основе высокого балла и особой экспертной отметки о научной и практической ценности работы.</w:t>
      </w:r>
    </w:p>
    <w:p w14:paraId="3D000000">
      <w:pPr>
        <w:widowControl w:val="1"/>
        <w:spacing w:after="0"/>
        <w:ind w:left="0" w:right="-1"/>
        <w:jc w:val="both"/>
        <w:rPr>
          <w:sz w:val="28"/>
        </w:rPr>
      </w:pPr>
      <w:r>
        <w:rPr>
          <w:sz w:val="28"/>
        </w:rPr>
        <w:t>7.4. Всем участникам выдаются электронные сертификаты.</w:t>
      </w:r>
    </w:p>
    <w:p w14:paraId="3E000000">
      <w:pPr>
        <w:widowControl w:val="1"/>
        <w:spacing w:after="0"/>
        <w:ind/>
        <w:rPr>
          <w:sz w:val="6"/>
        </w:rPr>
      </w:pPr>
    </w:p>
    <w:p w14:paraId="3F000000">
      <w:pPr>
        <w:widowControl w:val="1"/>
        <w:spacing w:after="0"/>
        <w:ind/>
        <w:rPr>
          <w:sz w:val="28"/>
        </w:rPr>
      </w:pPr>
      <w:r>
        <w:rPr>
          <w:sz w:val="28"/>
        </w:rPr>
        <w:t>8. Контактная информация</w:t>
      </w:r>
    </w:p>
    <w:p w14:paraId="40000000">
      <w:pPr>
        <w:widowControl w:val="1"/>
        <w:spacing w:after="0"/>
        <w:ind w:left="0" w:right="-1"/>
        <w:jc w:val="both"/>
        <w:rPr>
          <w:sz w:val="28"/>
        </w:rPr>
      </w:pPr>
      <w:r>
        <w:rPr>
          <w:sz w:val="28"/>
        </w:rPr>
        <w:t>Адрес оргкомитета: Республика Адыгея, г. Майкоп, ул. Советская, д. 193</w:t>
      </w:r>
    </w:p>
    <w:p w14:paraId="41000000">
      <w:pPr>
        <w:widowControl w:val="1"/>
        <w:spacing w:after="0"/>
        <w:ind w:left="0" w:right="-1"/>
        <w:jc w:val="both"/>
        <w:rPr>
          <w:sz w:val="28"/>
        </w:rPr>
      </w:pPr>
      <w:r>
        <w:rPr>
          <w:sz w:val="28"/>
        </w:rPr>
        <w:t xml:space="preserve">Электронная почта: </w:t>
      </w:r>
      <w:r>
        <w:rPr>
          <w:sz w:val="28"/>
        </w:rPr>
        <w:t>e-mail</w:t>
      </w:r>
      <w:r>
        <w:rPr>
          <w:sz w:val="28"/>
        </w:rPr>
        <w:t xml:space="preserve">: </w:t>
      </w:r>
      <w:r>
        <w:rPr>
          <w:rStyle w:val="Style_2_ch"/>
          <w:sz w:val="28"/>
        </w:rPr>
        <w:fldChar w:fldCharType="begin"/>
      </w:r>
      <w:r>
        <w:rPr>
          <w:rStyle w:val="Style_2_ch"/>
          <w:sz w:val="28"/>
        </w:rPr>
        <w:instrText>HYPERLINK "mailto:j.ioakimidi@adygnet.ru"</w:instrText>
      </w:r>
      <w:r>
        <w:rPr>
          <w:rStyle w:val="Style_2_ch"/>
          <w:sz w:val="28"/>
        </w:rPr>
        <w:fldChar w:fldCharType="separate"/>
      </w:r>
      <w:r>
        <w:rPr>
          <w:rStyle w:val="Style_2_ch"/>
          <w:sz w:val="28"/>
        </w:rPr>
        <w:t>j.ioakimidi@adygnet.ru</w:t>
      </w:r>
      <w:r>
        <w:rPr>
          <w:rStyle w:val="Style_2_ch"/>
          <w:sz w:val="28"/>
        </w:rPr>
        <w:fldChar w:fldCharType="end"/>
      </w:r>
    </w:p>
    <w:p w14:paraId="42000000">
      <w:pPr>
        <w:widowControl w:val="1"/>
        <w:spacing w:after="0"/>
        <w:ind w:left="0"/>
        <w:jc w:val="both"/>
        <w:rPr>
          <w:sz w:val="28"/>
        </w:rPr>
      </w:pPr>
      <w:r>
        <w:rPr>
          <w:sz w:val="28"/>
        </w:rPr>
        <w:t>Телефон: 89034654321- Иоакимиди Юлия Александровна</w:t>
      </w:r>
    </w:p>
    <w:p w14:paraId="43000000">
      <w:pPr>
        <w:widowControl w:val="1"/>
        <w:spacing w:after="0" w:line="360" w:lineRule="auto"/>
        <w:ind w:left="0" w:right="0"/>
        <w:jc w:val="left"/>
        <w:rPr>
          <w:sz w:val="28"/>
        </w:rPr>
      </w:pPr>
      <w:r>
        <w:rPr>
          <w:sz w:val="28"/>
        </w:rPr>
        <w:br w:type="page"/>
      </w:r>
    </w:p>
    <w:p w14:paraId="44000000">
      <w:pPr>
        <w:pStyle w:val="Style_3"/>
        <w:widowControl w:val="1"/>
        <w:ind/>
        <w:jc w:val="right"/>
        <w:rPr>
          <w:sz w:val="28"/>
        </w:rPr>
      </w:pPr>
      <w:r>
        <w:rPr>
          <w:b w:val="1"/>
          <w:sz w:val="28"/>
        </w:rPr>
        <w:t xml:space="preserve">Приложение 1 </w:t>
      </w:r>
    </w:p>
    <w:p w14:paraId="45000000">
      <w:pPr>
        <w:pStyle w:val="Style_3"/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Требования к оформлению тезисов</w:t>
      </w:r>
    </w:p>
    <w:p w14:paraId="46000000">
      <w:pPr>
        <w:pStyle w:val="Style_3"/>
        <w:widowControl w:val="1"/>
        <w:ind/>
        <w:jc w:val="center"/>
        <w:rPr>
          <w:sz w:val="28"/>
        </w:rPr>
      </w:pPr>
    </w:p>
    <w:p w14:paraId="47000000">
      <w:pPr>
        <w:pStyle w:val="Style_3"/>
        <w:widowControl w:val="1"/>
        <w:ind w:firstLine="709"/>
        <w:jc w:val="both"/>
        <w:rPr>
          <w:sz w:val="28"/>
        </w:rPr>
      </w:pPr>
      <w:r>
        <w:rPr>
          <w:b w:val="1"/>
          <w:sz w:val="28"/>
        </w:rPr>
        <w:t xml:space="preserve">Тезисы должны обязательно включать: </w:t>
      </w:r>
    </w:p>
    <w:p w14:paraId="48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1. Описание актуальности темы. </w:t>
      </w:r>
    </w:p>
    <w:p w14:paraId="49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2. Степень разработанности (обзор существующих исследований и литературы по теме). </w:t>
      </w:r>
    </w:p>
    <w:p w14:paraId="4A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3. Цель и задачи. </w:t>
      </w:r>
    </w:p>
    <w:p w14:paraId="4B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4. Методы. </w:t>
      </w:r>
    </w:p>
    <w:p w14:paraId="4C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5. Научные результаты, выводы. </w:t>
      </w:r>
    </w:p>
    <w:p w14:paraId="4D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Оригинальность – не менее 60% </w:t>
      </w:r>
    </w:p>
    <w:p w14:paraId="4E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Материалы докладов представляются в виде файла, выполняются в текстовом редакторе MS </w:t>
      </w:r>
      <w:r>
        <w:rPr>
          <w:sz w:val="28"/>
        </w:rPr>
        <w:t>Word</w:t>
      </w:r>
      <w:r>
        <w:rPr>
          <w:sz w:val="28"/>
        </w:rPr>
        <w:t xml:space="preserve">; </w:t>
      </w:r>
    </w:p>
    <w:p w14:paraId="4F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- не более 2-х листов, формат А4, шрифт </w:t>
      </w:r>
      <w:r>
        <w:rPr>
          <w:sz w:val="28"/>
        </w:rPr>
        <w:t>Times</w:t>
      </w:r>
      <w:r>
        <w:rPr>
          <w:sz w:val="28"/>
        </w:rPr>
        <w:t xml:space="preserve"> </w:t>
      </w:r>
      <w:r>
        <w:rPr>
          <w:sz w:val="28"/>
        </w:rPr>
        <w:t>New</w:t>
      </w:r>
      <w:r>
        <w:rPr>
          <w:sz w:val="28"/>
        </w:rPr>
        <w:t xml:space="preserve"> </w:t>
      </w:r>
      <w:r>
        <w:rPr>
          <w:sz w:val="28"/>
        </w:rPr>
        <w:t>Roman</w:t>
      </w:r>
      <w:r>
        <w:rPr>
          <w:sz w:val="28"/>
        </w:rPr>
        <w:t xml:space="preserve">, 12 кегль, одинарный интервал, поля по 20 мм; </w:t>
      </w:r>
    </w:p>
    <w:p w14:paraId="50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- межстрочный интервал – одинарный, абзацный отступ 1,25 см, выравнивание по ширине. </w:t>
      </w:r>
    </w:p>
    <w:p w14:paraId="51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Рисунки размещаются по тексту и выполняются в стандартных графических форматах (не использовать встроенный редактор MS </w:t>
      </w:r>
      <w:r>
        <w:rPr>
          <w:sz w:val="28"/>
        </w:rPr>
        <w:t>Word</w:t>
      </w:r>
      <w:r>
        <w:rPr>
          <w:sz w:val="28"/>
        </w:rPr>
        <w:t xml:space="preserve">). Таблицы, рисунки должны иметь порядковую нумерацию. Нумерация рисунков и таблиц ведется раздельно. Если рисунок или таблица в статье один или одна, то номера не проставляются. Графики и диаграммы должны быть одинаково информативными как в цветном, так и черно-белом виде. </w:t>
      </w:r>
    </w:p>
    <w:p w14:paraId="52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Обращаем внимание на порядок размещения текста: </w:t>
      </w:r>
    </w:p>
    <w:p w14:paraId="53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1) </w:t>
      </w:r>
      <w:r>
        <w:rPr>
          <w:b w:val="1"/>
          <w:sz w:val="28"/>
        </w:rPr>
        <w:t xml:space="preserve">Название </w:t>
      </w:r>
      <w:r>
        <w:rPr>
          <w:sz w:val="28"/>
        </w:rPr>
        <w:t xml:space="preserve">прописными буквами, по центру, без переносов, без точки в конце </w:t>
      </w:r>
    </w:p>
    <w:p w14:paraId="54000000">
      <w:pPr>
        <w:pStyle w:val="Style_3"/>
        <w:widowControl w:val="1"/>
        <w:ind w:firstLine="709"/>
        <w:jc w:val="both"/>
        <w:rPr>
          <w:sz w:val="28"/>
        </w:rPr>
      </w:pPr>
      <w:r>
        <w:rPr>
          <w:b w:val="1"/>
          <w:sz w:val="28"/>
        </w:rPr>
        <w:t xml:space="preserve">2) Информация об авторе(-ах) тезисов </w:t>
      </w:r>
      <w:r>
        <w:rPr>
          <w:sz w:val="28"/>
        </w:rPr>
        <w:t>- курсив, выравнивание по правому краю: ФИО автора (-</w:t>
      </w:r>
      <w:r>
        <w:rPr>
          <w:sz w:val="28"/>
        </w:rPr>
        <w:t>ов</w:t>
      </w:r>
      <w:r>
        <w:rPr>
          <w:sz w:val="28"/>
        </w:rPr>
        <w:t xml:space="preserve">), вуз, город. </w:t>
      </w:r>
    </w:p>
    <w:p w14:paraId="55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Научный руководитель: ФИО, уч. степень, уч. звание (должность), организация, город. </w:t>
      </w:r>
    </w:p>
    <w:p w14:paraId="56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3) </w:t>
      </w:r>
      <w:r>
        <w:rPr>
          <w:b w:val="1"/>
          <w:sz w:val="28"/>
        </w:rPr>
        <w:t xml:space="preserve">Текст тезисов. </w:t>
      </w:r>
    </w:p>
    <w:p w14:paraId="57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4) </w:t>
      </w:r>
      <w:r>
        <w:rPr>
          <w:b w:val="1"/>
          <w:sz w:val="28"/>
        </w:rPr>
        <w:t xml:space="preserve">Список литературы </w:t>
      </w:r>
    </w:p>
    <w:p w14:paraId="58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Список литературы оформляется в алфавитном порядке по фамилии автора: сначала русскоязычные источники, затем иностранные, а после них — интернет-ресурсы. На каждый источник из списка литературы в тексте тезисов должна быть ссылка, оформленная как [1], где 1 — порядковый номер источника в списке. </w:t>
      </w:r>
    </w:p>
    <w:p w14:paraId="59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Ниже приведены примеры оформления списка литературы для тезисов </w:t>
      </w:r>
    </w:p>
    <w:p w14:paraId="5A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Для монографий: </w:t>
      </w:r>
    </w:p>
    <w:p w14:paraId="5B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>Пацына</w:t>
      </w:r>
      <w:r>
        <w:rPr>
          <w:sz w:val="28"/>
        </w:rPr>
        <w:t xml:space="preserve"> В.Л., Квасков В.Д. Атлас фонетики и графики арабского языка. М., 2003. </w:t>
      </w:r>
    </w:p>
    <w:p w14:paraId="5C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>Нушикян</w:t>
      </w:r>
      <w:r>
        <w:rPr>
          <w:sz w:val="28"/>
        </w:rPr>
        <w:t xml:space="preserve"> Э.А. Типология интонации эмоциональной речи. Киев; Одесса, 1986. </w:t>
      </w:r>
    </w:p>
    <w:p w14:paraId="5D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Достоевский Ф.М. Полное собрание сочинений: В 30 т. Л., 1972-1989. Т. 6, 7, 9. </w:t>
      </w:r>
    </w:p>
    <w:p w14:paraId="5E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Для статей в отдельных изданиях и сборниках: </w:t>
      </w:r>
    </w:p>
    <w:p w14:paraId="5F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Князев С.В. Фонетическая реализация ударения в различных фразовых позициях в современном русском языке // Фонетика сегодня: актуальные проблемы и университетское преподавание. М, 1998. С. 57-89. </w:t>
      </w:r>
    </w:p>
    <w:p w14:paraId="60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Ткачев И.Ю. Семантический признак ’Накопитель эффекта’ и его релевантность для построения таксономической классификации русских глаголов // Материалы XII Международной конференции студентов, аспирантов и молодых ученых «Ломоносов». 12-15 апреля 2005 г. Т.IV: Иностранные языки. Филология. М., 2005. </w:t>
      </w:r>
    </w:p>
    <w:p w14:paraId="61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Писемский А.Ф. Фельетоны Никиты </w:t>
      </w:r>
      <w:r>
        <w:rPr>
          <w:sz w:val="28"/>
        </w:rPr>
        <w:t>Безрылова</w:t>
      </w:r>
      <w:r>
        <w:rPr>
          <w:sz w:val="28"/>
        </w:rPr>
        <w:t xml:space="preserve"> // Писемский А.Ф. Полн. собр. соч. СПб.; М., 1913. Т. 7. С. 612-625. </w:t>
      </w:r>
    </w:p>
    <w:p w14:paraId="62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Для статей в журналах и периодических изданиях: </w:t>
      </w:r>
    </w:p>
    <w:p w14:paraId="63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Панков Ф.И. Функционально-семантическая категория наречной </w:t>
      </w:r>
      <w:r>
        <w:rPr>
          <w:sz w:val="28"/>
        </w:rPr>
        <w:t>темпоральности</w:t>
      </w:r>
      <w:r>
        <w:rPr>
          <w:sz w:val="28"/>
        </w:rPr>
        <w:t xml:space="preserve"> и система значений наречий времени в русском языке // Вестник </w:t>
      </w:r>
      <w:r>
        <w:rPr>
          <w:sz w:val="28"/>
        </w:rPr>
        <w:t>Моск</w:t>
      </w:r>
      <w:r>
        <w:rPr>
          <w:sz w:val="28"/>
        </w:rPr>
        <w:t xml:space="preserve">. ун-та, Сер. 9. Филология. 2005. </w:t>
      </w:r>
      <w:r>
        <w:rPr>
          <w:sz w:val="28"/>
        </w:rPr>
        <w:t>No</w:t>
      </w:r>
      <w:r>
        <w:rPr>
          <w:sz w:val="28"/>
        </w:rPr>
        <w:t xml:space="preserve">. 1. С. 45-50. </w:t>
      </w:r>
    </w:p>
    <w:p w14:paraId="64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Словари: </w:t>
      </w:r>
    </w:p>
    <w:p w14:paraId="65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Словарь русских говоров Среднего Урала / Под ред. А.К. Матвеева: В 7 т. Свердловск, 1964-1988. </w:t>
      </w:r>
    </w:p>
    <w:p w14:paraId="66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Федорова Л.Г. Цитата // Литературная энциклопедия терминов и понятий. М., 2001. С. 507. </w:t>
      </w:r>
    </w:p>
    <w:p w14:paraId="67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Для авторефератов: </w:t>
      </w:r>
    </w:p>
    <w:p w14:paraId="68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Калюжная И.А. Концепт «детство» в немецкой и русской </w:t>
      </w:r>
      <w:r>
        <w:rPr>
          <w:sz w:val="28"/>
        </w:rPr>
        <w:t>лингвокультурах</w:t>
      </w:r>
      <w:r>
        <w:rPr>
          <w:sz w:val="28"/>
        </w:rPr>
        <w:t xml:space="preserve">. </w:t>
      </w:r>
      <w:r>
        <w:rPr>
          <w:sz w:val="28"/>
        </w:rPr>
        <w:t>Автореф</w:t>
      </w:r>
      <w:r>
        <w:rPr>
          <w:sz w:val="28"/>
        </w:rPr>
        <w:t xml:space="preserve">. </w:t>
      </w:r>
      <w:r>
        <w:rPr>
          <w:sz w:val="28"/>
        </w:rPr>
        <w:t>дисс</w:t>
      </w:r>
      <w:r>
        <w:rPr>
          <w:sz w:val="28"/>
        </w:rPr>
        <w:t xml:space="preserve">. ... канд. </w:t>
      </w:r>
      <w:r>
        <w:rPr>
          <w:sz w:val="28"/>
        </w:rPr>
        <w:t>филол</w:t>
      </w:r>
      <w:r>
        <w:rPr>
          <w:sz w:val="28"/>
        </w:rPr>
        <w:t xml:space="preserve">. наук. Волгоград, 2007. </w:t>
      </w:r>
    </w:p>
    <w:p w14:paraId="69000000">
      <w:pPr>
        <w:pStyle w:val="Style_3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Интернет-сайт и источники из интернета: </w:t>
      </w:r>
    </w:p>
    <w:p w14:paraId="6A000000">
      <w:pPr>
        <w:widowControl w:val="1"/>
        <w:spacing w:after="0"/>
        <w:ind w:firstLine="709" w:left="0"/>
        <w:jc w:val="both"/>
        <w:rPr>
          <w:sz w:val="28"/>
        </w:rPr>
      </w:pPr>
      <w:r>
        <w:rPr>
          <w:sz w:val="28"/>
        </w:rPr>
        <w:t>Грамота.ру</w:t>
      </w:r>
      <w:r>
        <w:rPr>
          <w:sz w:val="28"/>
        </w:rPr>
        <w:t xml:space="preserve">: </w:t>
      </w:r>
      <w:r>
        <w:rPr>
          <w:rStyle w:val="Style_2_ch"/>
          <w:sz w:val="28"/>
        </w:rPr>
        <w:fldChar w:fldCharType="begin"/>
      </w:r>
      <w:r>
        <w:rPr>
          <w:rStyle w:val="Style_2_ch"/>
          <w:sz w:val="28"/>
        </w:rPr>
        <w:instrText>HYPERLINK "http://www.gramota.ru"</w:instrText>
      </w:r>
      <w:r>
        <w:rPr>
          <w:rStyle w:val="Style_2_ch"/>
          <w:sz w:val="28"/>
        </w:rPr>
        <w:fldChar w:fldCharType="separate"/>
      </w:r>
      <w:r>
        <w:rPr>
          <w:rStyle w:val="Style_2_ch"/>
          <w:sz w:val="28"/>
        </w:rPr>
        <w:t>http://www.gramota.ru</w:t>
      </w:r>
      <w:r>
        <w:rPr>
          <w:rStyle w:val="Style_2_ch"/>
          <w:sz w:val="28"/>
        </w:rPr>
        <w:fldChar w:fldCharType="end"/>
      </w:r>
    </w:p>
    <w:p w14:paraId="6B000000">
      <w:pPr>
        <w:widowControl w:val="1"/>
        <w:spacing w:after="0"/>
        <w:ind w:firstLine="709" w:left="0"/>
        <w:jc w:val="both"/>
        <w:rPr>
          <w:sz w:val="28"/>
        </w:rPr>
      </w:pPr>
    </w:p>
    <w:p w14:paraId="6C000000">
      <w:pPr>
        <w:widowControl w:val="1"/>
        <w:spacing w:after="0" w:line="259" w:lineRule="auto"/>
        <w:ind w:firstLine="851" w:left="0" w:right="0"/>
        <w:rPr>
          <w:b w:val="1"/>
          <w:color w:val="000000"/>
          <w:sz w:val="24"/>
        </w:rPr>
      </w:pPr>
      <w:r>
        <w:rPr>
          <w:b w:val="1"/>
          <w:color w:val="000000"/>
          <w:sz w:val="24"/>
        </w:rPr>
        <w:t>ОБРАЗЕЦ</w:t>
      </w:r>
      <w:r>
        <w:rPr>
          <w:b w:val="1"/>
          <w:color w:val="000000"/>
          <w:sz w:val="24"/>
        </w:rPr>
        <w:t xml:space="preserve"> ОФОРМЛЕНИЯ </w:t>
      </w:r>
    </w:p>
    <w:p w14:paraId="6D000000">
      <w:pPr>
        <w:widowControl w:val="1"/>
        <w:spacing w:after="0" w:line="259" w:lineRule="auto"/>
        <w:ind w:firstLine="851" w:left="0" w:right="0"/>
        <w:rPr>
          <w:b w:val="1"/>
          <w:color w:val="000000"/>
          <w:sz w:val="24"/>
        </w:rPr>
      </w:pPr>
    </w:p>
    <w:p w14:paraId="6E000000">
      <w:pPr>
        <w:widowControl w:val="1"/>
        <w:spacing w:after="0"/>
        <w:ind w:firstLine="709" w:left="0" w:right="0"/>
        <w:rPr>
          <w:b w:val="1"/>
          <w:color w:val="000000"/>
          <w:sz w:val="24"/>
        </w:rPr>
      </w:pPr>
      <w:r>
        <w:rPr>
          <w:b w:val="1"/>
          <w:color w:val="000000"/>
          <w:sz w:val="24"/>
        </w:rPr>
        <w:t>ФОРМИРОВАНИЕ ПРОФЕССИОНАЛЬНОГО АВТОРИТЕТА У БУДУЩИХ СПЕЦИАЛИСТОВ В ОБЛАСТИ ФИЗИЧЕСКОЙ КУЛЬТУРЫ И СПОРТА</w:t>
      </w:r>
    </w:p>
    <w:p w14:paraId="6F000000">
      <w:pPr>
        <w:widowControl w:val="1"/>
        <w:spacing w:after="0"/>
        <w:ind w:firstLine="709" w:left="0" w:right="0"/>
        <w:jc w:val="right"/>
        <w:rPr>
          <w:i w:val="1"/>
          <w:color w:val="000000"/>
          <w:sz w:val="24"/>
        </w:rPr>
      </w:pPr>
    </w:p>
    <w:p w14:paraId="70000000">
      <w:pPr>
        <w:widowControl w:val="1"/>
        <w:spacing w:after="0"/>
        <w:ind w:firstLine="709" w:left="0" w:right="0"/>
        <w:jc w:val="right"/>
        <w:rPr>
          <w:i w:val="1"/>
          <w:color w:val="000000"/>
          <w:sz w:val="24"/>
        </w:rPr>
      </w:pPr>
      <w:r>
        <w:rPr>
          <w:i w:val="1"/>
          <w:color w:val="000000"/>
          <w:sz w:val="24"/>
        </w:rPr>
        <w:t>Иванов И.И., студент 4 курса ИФК и дзюдо АГУ, г. Майкоп</w:t>
      </w:r>
    </w:p>
    <w:p w14:paraId="71000000">
      <w:pPr>
        <w:widowControl w:val="1"/>
        <w:spacing w:after="0"/>
        <w:ind w:firstLine="709" w:left="0" w:right="0"/>
        <w:jc w:val="right"/>
        <w:rPr>
          <w:i w:val="1"/>
          <w:color w:val="000000"/>
          <w:sz w:val="24"/>
        </w:rPr>
      </w:pPr>
      <w:r>
        <w:rPr>
          <w:i w:val="1"/>
          <w:color w:val="000000"/>
          <w:sz w:val="24"/>
        </w:rPr>
        <w:t xml:space="preserve">Научный руководитель: Ю.А. Иоакимиди, </w:t>
      </w:r>
      <w:r>
        <w:rPr>
          <w:i w:val="1"/>
          <w:color w:val="000000"/>
          <w:sz w:val="24"/>
        </w:rPr>
        <w:t>кан</w:t>
      </w:r>
      <w:r>
        <w:rPr>
          <w:i w:val="1"/>
          <w:color w:val="000000"/>
          <w:sz w:val="24"/>
        </w:rPr>
        <w:t xml:space="preserve">. </w:t>
      </w:r>
      <w:r>
        <w:rPr>
          <w:i w:val="1"/>
          <w:color w:val="000000"/>
          <w:sz w:val="24"/>
        </w:rPr>
        <w:t>пед</w:t>
      </w:r>
      <w:r>
        <w:rPr>
          <w:i w:val="1"/>
          <w:color w:val="000000"/>
          <w:sz w:val="24"/>
        </w:rPr>
        <w:t>. наук.,</w:t>
      </w:r>
    </w:p>
    <w:p w14:paraId="72000000">
      <w:pPr>
        <w:widowControl w:val="1"/>
        <w:spacing w:after="0"/>
        <w:ind w:firstLine="709" w:left="0" w:right="0"/>
        <w:jc w:val="right"/>
        <w:rPr>
          <w:color w:val="000000"/>
          <w:sz w:val="24"/>
        </w:rPr>
      </w:pPr>
      <w:r>
        <w:rPr>
          <w:i w:val="1"/>
          <w:color w:val="000000"/>
          <w:sz w:val="24"/>
        </w:rPr>
        <w:t>доцент кафедры ТОФВ АГУ, г. Майкоп</w:t>
      </w:r>
      <w:r>
        <w:rPr>
          <w:color w:val="000000"/>
          <w:sz w:val="24"/>
        </w:rPr>
        <w:t>.</w:t>
      </w:r>
    </w:p>
    <w:p w14:paraId="73000000">
      <w:pPr>
        <w:widowControl w:val="1"/>
        <w:spacing w:after="0"/>
        <w:ind w:firstLine="709" w:left="0" w:right="0"/>
        <w:rPr>
          <w:b w:val="1"/>
          <w:color w:val="000000"/>
          <w:sz w:val="24"/>
        </w:rPr>
      </w:pPr>
    </w:p>
    <w:p w14:paraId="74000000">
      <w:pPr>
        <w:widowControl w:val="1"/>
        <w:spacing w:after="0"/>
        <w:ind w:firstLine="709" w:left="0" w:right="0"/>
        <w:jc w:val="both"/>
        <w:rPr>
          <w:color w:val="000000"/>
          <w:sz w:val="24"/>
        </w:rPr>
      </w:pPr>
      <w:r>
        <w:rPr>
          <w:spacing w:val="-2"/>
          <w:sz w:val="24"/>
        </w:rPr>
        <w:t xml:space="preserve">В условии технологической трансформации и эволюции спорта, современное общество предъявляет особые требования к нынешнему специалисту социально-ориентированных профессий, к которым относятся тренеры, инструкторы, педагоги и люди, работающие в спортивной и педагогической сферах. </w:t>
      </w:r>
      <w:r>
        <w:rPr>
          <w:color w:val="000000"/>
          <w:sz w:val="24"/>
        </w:rPr>
        <w:t>[1].</w:t>
      </w:r>
    </w:p>
    <w:p w14:paraId="75000000">
      <w:pPr>
        <w:widowControl w:val="1"/>
        <w:spacing w:after="0"/>
        <w:ind w:firstLine="709" w:left="0" w:right="0"/>
        <w:jc w:val="both"/>
        <w:rPr>
          <w:b w:val="1"/>
          <w:color w:val="000000"/>
          <w:sz w:val="24"/>
        </w:rPr>
      </w:pPr>
    </w:p>
    <w:p w14:paraId="76000000">
      <w:pPr>
        <w:widowControl w:val="1"/>
        <w:spacing w:after="0"/>
        <w:ind w:firstLine="709" w:left="0" w:right="0"/>
        <w:jc w:val="both"/>
        <w:rPr>
          <w:b w:val="1"/>
          <w:color w:val="000000"/>
          <w:sz w:val="24"/>
        </w:rPr>
      </w:pPr>
      <w:r>
        <w:rPr>
          <w:b w:val="1"/>
          <w:color w:val="000000"/>
          <w:sz w:val="24"/>
        </w:rPr>
        <w:t>Список литературы:</w:t>
      </w:r>
    </w:p>
    <w:p w14:paraId="77000000">
      <w:pPr>
        <w:widowControl w:val="1"/>
        <w:spacing w:after="0" w:line="259" w:lineRule="auto"/>
        <w:ind w:firstLine="708" w:left="0" w:right="0"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1. </w:t>
      </w:r>
      <w:r>
        <w:rPr>
          <w:color w:val="000000"/>
          <w:sz w:val="24"/>
        </w:rPr>
        <w:t>Андриади</w:t>
      </w:r>
      <w:r>
        <w:rPr>
          <w:color w:val="000000"/>
          <w:sz w:val="24"/>
        </w:rPr>
        <w:t xml:space="preserve"> И. П. // Основы педагогического мастерства</w:t>
      </w:r>
      <w:bookmarkStart w:id="1" w:name="_GoBack"/>
      <w:r>
        <w:rPr>
          <w:color w:val="000000"/>
          <w:sz w:val="24"/>
        </w:rPr>
        <w:t>.</w:t>
      </w:r>
      <w:r>
        <w:rPr>
          <w:color w:val="FF0000"/>
          <w:sz w:val="24"/>
        </w:rPr>
        <w:t xml:space="preserve"> </w:t>
      </w:r>
      <w:bookmarkEnd w:id="1"/>
      <w:r>
        <w:rPr>
          <w:color w:val="000000"/>
          <w:sz w:val="24"/>
        </w:rPr>
        <w:t>М.: Издательский центр «Академия», 1999</w:t>
      </w:r>
      <w:r>
        <w:rPr>
          <w:color w:val="000000"/>
          <w:sz w:val="24"/>
        </w:rPr>
        <w:t>.</w:t>
      </w:r>
    </w:p>
    <w:p w14:paraId="78000000">
      <w:pPr>
        <w:widowControl w:val="1"/>
        <w:spacing w:after="0"/>
        <w:ind w:firstLine="709" w:left="0"/>
        <w:jc w:val="both"/>
        <w:rPr>
          <w:sz w:val="28"/>
        </w:rPr>
      </w:pPr>
    </w:p>
    <w:sectPr>
      <w:headerReference r:id="rId1" w:type="default"/>
      <w:footerReference r:id="rId2" w:type="default"/>
      <w:pgSz w:h="16838" w:orient="portrait" w:w="11906"/>
      <w:pgMar w:bottom="1134" w:footer="709" w:gutter="0" w:header="709" w:left="1701" w:right="1134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</w:pPr>
  </w:p>
</w:ftr>
</file>

<file path=word/header1.xml><?xml version="1.0" encoding="utf-8"?>
<w:hd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  <w:lang w:val="ru-RU"/>
      </w:rPr>
    </w:rPrDefault>
    <w:pPrDefault>
      <w:pPr>
        <w:widowControl w:val="1"/>
        <w:spacing w:after="0" w:before="0" w:line="36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spacing w:after="200" w:line="240" w:lineRule="auto"/>
      <w:ind w:left="1200" w:right="1200"/>
      <w:jc w:val="center"/>
    </w:pPr>
    <w:rPr>
      <w:rFonts w:ascii="Times New Roman" w:hAnsi="Times New Roman"/>
      <w:sz w:val="20"/>
    </w:rPr>
  </w:style>
  <w:style w:default="1" w:styleId="Style_4_ch" w:type="character">
    <w:name w:val="Normal"/>
    <w:link w:val="Style_4"/>
    <w:rPr>
      <w:rFonts w:ascii="Times New Roman" w:hAnsi="Times New Roman"/>
      <w:sz w:val="20"/>
    </w:rPr>
  </w:style>
  <w:style w:styleId="Style_5" w:type="paragraph">
    <w:name w:val="toc 2"/>
    <w:next w:val="Style_4"/>
    <w:link w:val="Style_5_ch"/>
    <w:uiPriority w:val="39"/>
    <w:pPr>
      <w:widowControl w:val="1"/>
      <w:ind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widowControl w:val="1"/>
      <w:ind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widowControl w:val="1"/>
      <w:ind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widowControl w:val="1"/>
      <w:ind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1"/>
      <w:ind w:firstLine="851"/>
      <w:jc w:val="both"/>
    </w:pPr>
    <w:rPr>
      <w:rFonts w:ascii="XO Thames" w:hAnsi="XO Thames"/>
    </w:rPr>
  </w:style>
  <w:style w:styleId="Style_9_ch" w:type="character">
    <w:name w:val="Endnote"/>
    <w:link w:val="Style_9"/>
    <w:rPr>
      <w:rFonts w:ascii="XO Thames" w:hAnsi="XO Thames"/>
    </w:rPr>
  </w:style>
  <w:style w:styleId="Style_10" w:type="paragraph">
    <w:name w:val="heading 3"/>
    <w:next w:val="Style_4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3" w:type="paragraph">
    <w:name w:val="Default"/>
    <w:link w:val="Style_3_ch"/>
    <w:pPr>
      <w:widowControl w:val="1"/>
      <w:spacing w:line="240" w:lineRule="auto"/>
      <w:ind/>
    </w:pPr>
    <w:rPr>
      <w:rFonts w:ascii="Times New Roman" w:hAnsi="Times New Roman"/>
      <w:sz w:val="24"/>
    </w:rPr>
  </w:style>
  <w:style w:styleId="Style_3_ch" w:type="character">
    <w:name w:val="Default"/>
    <w:link w:val="Style_3"/>
    <w:rPr>
      <w:rFonts w:ascii="Times New Roman" w:hAnsi="Times New Roman"/>
      <w:sz w:val="24"/>
    </w:rPr>
  </w:style>
  <w:style w:styleId="Style_11" w:type="paragraph">
    <w:name w:val="toc 3"/>
    <w:next w:val="Style_4"/>
    <w:link w:val="Style_11_ch"/>
    <w:uiPriority w:val="39"/>
    <w:pPr>
      <w:widowControl w:val="1"/>
      <w:ind w:left="400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Основной шрифт абзаца1"/>
    <w:link w:val="Style_12_ch"/>
  </w:style>
  <w:style w:styleId="Style_12_ch" w:type="character">
    <w:name w:val="Основной шрифт абзаца1"/>
    <w:link w:val="Style_12"/>
  </w:style>
  <w:style w:styleId="Style_13" w:type="paragraph">
    <w:name w:val="heading 5"/>
    <w:next w:val="Style_4"/>
    <w:link w:val="Style_1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3_ch" w:type="character">
    <w:name w:val="heading 5"/>
    <w:link w:val="Style_13"/>
    <w:rPr>
      <w:rFonts w:ascii="XO Thames" w:hAnsi="XO Thames"/>
      <w:b w:val="1"/>
    </w:rPr>
  </w:style>
  <w:style w:styleId="Style_14" w:type="paragraph">
    <w:name w:val="heading 1"/>
    <w:next w:val="Style_4"/>
    <w:link w:val="Style_1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Обычный1"/>
    <w:link w:val="Style_15_ch"/>
    <w:rPr>
      <w:rFonts w:ascii="Times New Roman" w:hAnsi="Times New Roman"/>
      <w:sz w:val="20"/>
    </w:rPr>
  </w:style>
  <w:style w:styleId="Style_15_ch" w:type="character">
    <w:name w:val="Обычный1"/>
    <w:link w:val="Style_15"/>
    <w:rPr>
      <w:rFonts w:ascii="Times New Roman" w:hAnsi="Times New Roman"/>
      <w:sz w:val="20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1"/>
      <w:ind w:firstLine="851"/>
      <w:jc w:val="both"/>
    </w:pPr>
    <w:rPr>
      <w:rFonts w:ascii="XO Thames" w:hAnsi="XO Thames"/>
    </w:rPr>
  </w:style>
  <w:style w:styleId="Style_17_ch" w:type="character">
    <w:name w:val="Footnote"/>
    <w:link w:val="Style_17"/>
    <w:rPr>
      <w:rFonts w:ascii="XO Thames" w:hAnsi="XO Thames"/>
    </w:rPr>
  </w:style>
  <w:style w:styleId="Style_18" w:type="paragraph">
    <w:name w:val="toc 1"/>
    <w:next w:val="Style_4"/>
    <w:link w:val="Style_18_ch"/>
    <w:uiPriority w:val="39"/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2" w:type="paragraph">
    <w:name w:val="Гиперссылка1"/>
    <w:basedOn w:val="Style_12"/>
    <w:link w:val="Style_2_ch"/>
    <w:rPr>
      <w:color w:themeColor="hyperlink" w:val="0000FF"/>
      <w:u w:val="single"/>
    </w:rPr>
  </w:style>
  <w:style w:styleId="Style_2_ch" w:type="character">
    <w:name w:val="Гиперссылка1"/>
    <w:basedOn w:val="Style_12_ch"/>
    <w:link w:val="Style_2"/>
    <w:rPr>
      <w:color w:themeColor="hyperlink" w:val="0000FF"/>
      <w:u w:val="single"/>
    </w:rPr>
  </w:style>
  <w:style w:styleId="Style_1" w:type="paragraph">
    <w:name w:val="Header and Footer"/>
    <w:link w:val="Style_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9" w:type="paragraph">
    <w:name w:val="toc 9"/>
    <w:next w:val="Style_4"/>
    <w:link w:val="Style_19_ch"/>
    <w:uiPriority w:val="39"/>
    <w:pPr>
      <w:widowControl w:val="1"/>
      <w:ind w:left="1600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4"/>
    <w:link w:val="Style_20_ch"/>
    <w:uiPriority w:val="39"/>
    <w:pPr>
      <w:widowControl w:val="1"/>
      <w:ind w:left="1400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4"/>
    <w:link w:val="Style_21_ch"/>
    <w:uiPriority w:val="39"/>
    <w:pPr>
      <w:widowControl w:val="1"/>
      <w:ind w:left="800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4"/>
    <w:link w:val="Style_2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4"/>
    <w:link w:val="Style_2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4"/>
    <w:link w:val="Style_2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4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media/2.png" Type="http://schemas.openxmlformats.org/officeDocument/2006/relationships/image"/>
  <Relationship Id="rId1" Target="header1.xml" Type="http://schemas.openxmlformats.org/officeDocument/2006/relationships/header"/>
  <Relationship Id="rId8" Target="stylesWithEffects.xml" Type="http://schemas.microsoft.com/office/2007/relationships/stylesWithEffects"/>
  <Relationship Id="rId10" Target="theme/theme1.xml" Type="http://schemas.openxmlformats.org/officeDocument/2006/relationships/theme"/>
  <Relationship Id="rId7" Target="styles.xml" Type="http://schemas.openxmlformats.org/officeDocument/2006/relationships/styles"/>
  <Relationship Id="rId5" Target="fontTable.xml" Type="http://schemas.openxmlformats.org/officeDocument/2006/relationships/fontTable"/>
  <Relationship Id="rId3" Target="media/1.png" Type="http://schemas.openxmlformats.org/officeDocument/2006/relationships/image"/>
  <Relationship Id="rId2" Target="footer2.xml" Type="http://schemas.openxmlformats.org/officeDocument/2006/relationships/footer"/>
  <Relationship Id="rId9" Target="webSettings.xml" Type="http://schemas.openxmlformats.org/officeDocument/2006/relationships/webSettings"/>
  <Relationship Id="rId6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MyOffice-CoreFramework-Android/42-1452.1159.10689.1080.1@81e7b381fe3e759ea024068d935a93a33705f065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2026-09-08T13:34:00Z</dcterms:created>
  <dcterms:modified xsi:type="dcterms:W3CDTF">2026-09-22T16:44:00Z</dcterms:modified>
</cp:coreProperties>
</file>