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38E" w:rsidRPr="00C225E5" w:rsidRDefault="00E23377" w:rsidP="008C23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Стратегии преодоления торговых барьеров китайскими производителями электромобилей на рынках ЕС, США и Бразилии</w:t>
      </w:r>
    </w:p>
    <w:p w:rsidR="00B62411" w:rsidRDefault="005834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Наклескина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Анна Владимировна</w:t>
      </w:r>
      <w:r w:rsidR="00111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:rsidR="00B62411" w:rsidRDefault="005834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E23377" w:rsidRPr="00E23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аспирантуры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E23377" w:rsidRPr="00E23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</w:p>
    <w:p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</w:pPr>
      <w:r w:rsidRPr="005834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E1E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5834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="0058342D" w:rsidRPr="00FE1E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B7302A" w:rsidRPr="00251FCA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en-GB"/>
          </w:rPr>
          <w:t>nakleskina</w:t>
        </w:r>
        <w:r w:rsidR="00B7302A" w:rsidRPr="00251FCA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="00B7302A" w:rsidRPr="00251FCA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en-GB"/>
          </w:rPr>
          <w:t>gmail</w:t>
        </w:r>
        <w:r w:rsidR="00B7302A" w:rsidRPr="00251FCA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B7302A" w:rsidRPr="00251FCA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en-GB"/>
          </w:rPr>
          <w:t>com</w:t>
        </w:r>
      </w:hyperlink>
    </w:p>
    <w:p w:rsidR="00B7302A" w:rsidRPr="00FE1E67" w:rsidRDefault="00B73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4C5C" w:rsidRDefault="003A4C5C" w:rsidP="003A4C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2020-х годах развитие индустрии электромобилей в Китае получило новый импульс и приобрело целенаправленный, стратегически выверенный характер. В ноябре 2020 года Госсоветом КНР был утвержден «План развития индустрии новых энергетических автомобилей на 2021-2035 годы». Согласно плану, китайский автопром должен был не только расширить присутствие на глобальном рынке электромобилей, но и совершить технологический рывок, в частности снизить энергопотребление чистых электромобилей и увеличить их долю в продаже новых автомобилей до 20% к 2025 году. Уже в тексте документа подчеркивалась значимость разработки общих международных правил и стандартов для формирования открытого и конкурентного глобального рынка. К 2025 году эти планы были перевыполнены – доля электромобилей в общем объёме продаж (включая экспорт) составила 47,9%, что вывело китайский автопром в лидеров рынка, но в то же время спровоцировало ответные меры со стороны иностранных регуляторов.</w:t>
      </w:r>
    </w:p>
    <w:p w:rsidR="003A4C5C" w:rsidRDefault="003A4C5C" w:rsidP="003A4C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C5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Ответная реакция зарубежных регуляторов включала как тарифные ограничения, так и нетарифные барьеры. В 2024 году США ввели 100-процентные пошлины на китайские электромобили, фактически закрыв американский рынок для прямой поставки готовых машин из КНР. В дополнение в 2025 году была инициирована серия антидемпинговых расследований, в результате чего для отдельных производителей были установлены повышенные ставки</w:t>
      </w:r>
      <w:r w:rsidR="00B73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ввозных пошлин</w:t>
      </w:r>
      <w:r w:rsidRPr="003A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Под ограничения попали также ключевые компоненты, включая батарейный графит. Европейский союз основывал свои меры на результатах </w:t>
      </w:r>
      <w:proofErr w:type="spellStart"/>
      <w:r w:rsidRPr="003A4C5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антисубсидийного</w:t>
      </w:r>
      <w:proofErr w:type="spellEnd"/>
      <w:r w:rsidRPr="003A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расследования, выявившего, что китайские электромобили дешевле европейских аналогов благодаря господдержке. Итогом стало введение в 2024 году компенсационных пошлин для китайских производителей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электромобилей</w:t>
      </w:r>
      <w:r w:rsidRPr="003A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диапазоне от 7% до 35% сроком на пять лет. Бразилия, являющаяся партнером КНР по БРИКС, также ужесточила режим доступа для китайских электромобилей, объявив о поэтапном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введении</w:t>
      </w:r>
      <w:r w:rsidRPr="003A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импортных пошлин до 35% к 2026 году.</w:t>
      </w:r>
    </w:p>
    <w:p w:rsidR="003A4C5C" w:rsidRDefault="00761E31" w:rsidP="003A4C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E31">
        <w:rPr>
          <w:rFonts w:ascii="Times New Roman" w:eastAsia="Times New Roman" w:hAnsi="Times New Roman" w:cs="Times New Roman"/>
          <w:color w:val="000000"/>
          <w:sz w:val="24"/>
          <w:szCs w:val="24"/>
        </w:rPr>
        <w:t>В ответ на усиление торговых барьеров китайские производители электромобилей выработали комплексн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761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 к</w:t>
      </w:r>
      <w:r w:rsidRPr="00761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адаптации своих конкурентных стратегий на зарубежных рынках, ключевым компонентом котор</w:t>
      </w:r>
      <w:r w:rsidR="00B7302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1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 переход от экспорта готовой продукции к локализации </w:t>
      </w:r>
      <w:r w:rsidR="00B730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</w:t>
      </w:r>
      <w:r w:rsidRPr="00761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рубежом.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</w:t>
      </w:r>
      <w:r w:rsidRPr="00761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сборочных мощностей непосредственно в страны-импортеры или близлежащие регионы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E31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761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минимизировать тарифные ограничения и укрепить позиции брендов.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61E3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 китайск</w:t>
      </w:r>
      <w:r w:rsidR="00CB1B2D">
        <w:rPr>
          <w:rFonts w:ascii="Times New Roman" w:eastAsia="Times New Roman" w:hAnsi="Times New Roman" w:cs="Times New Roman"/>
          <w:color w:val="000000"/>
          <w:sz w:val="24"/>
          <w:szCs w:val="24"/>
        </w:rPr>
        <w:t>ий автопроизводитель</w:t>
      </w:r>
      <w:r w:rsidR="00A205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E31">
        <w:rPr>
          <w:rFonts w:ascii="Times New Roman" w:eastAsia="Times New Roman" w:hAnsi="Times New Roman" w:cs="Times New Roman"/>
          <w:color w:val="000000"/>
          <w:sz w:val="24"/>
          <w:szCs w:val="24"/>
        </w:rPr>
        <w:t>BYD в 2025 году впервые стал мировым лидером по продажам электромобилей, причем значительная часть этого роста была обеспечена именно зарубежными рынками, где компания активно развивает локальное производство.</w:t>
      </w:r>
      <w:r w:rsidR="00B73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 других производителей применили создание партнерств с иностранными автоконцернами и корректировку экспортных потоков.</w:t>
      </w:r>
    </w:p>
    <w:p w:rsidR="00B7302A" w:rsidRDefault="00A205AB" w:rsidP="00B73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в</w:t>
      </w:r>
      <w:r w:rsidR="00B7302A" w:rsidRPr="00B73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докладе проанализировано влияние экспортных ограничений на зарубежных рынках на стратегии китайских производителей электромобилей. В качестве объекта для анализа намеренно выбраны три юрисдикции с принципиально различными подходами к регулированию (США, ЕС, Бразилия), что позволило продемонстрировать, как китайские автопроизводители адаптируют свои стратегии с учетом специфики каждого целевого рынка. Результаты исследования показывают, что </w:t>
      </w:r>
      <w:r w:rsidR="00B7302A">
        <w:rPr>
          <w:rFonts w:ascii="Times New Roman" w:eastAsia="Times New Roman" w:hAnsi="Times New Roman" w:cs="Times New Roman"/>
          <w:color w:val="000000"/>
          <w:sz w:val="24"/>
          <w:szCs w:val="24"/>
        </w:rPr>
        <w:t>гибкость</w:t>
      </w:r>
      <w:r w:rsidR="00B7302A" w:rsidRPr="00B73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стратегий китайских компаний позволила не только удержать позиции на </w:t>
      </w:r>
      <w:r w:rsidR="00B7302A" w:rsidRPr="00B730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глобальном рынке, но и нарастить продажи, что в итоге вывело китайский автопром в лидеры мирового рынка электромобилей</w:t>
      </w:r>
      <w:r w:rsidR="00B73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даже в условиях введения торговых ограничений.</w:t>
      </w:r>
    </w:p>
    <w:p w:rsidR="00B7302A" w:rsidRDefault="00B7302A" w:rsidP="00B73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411" w:rsidRPr="003A4C5C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3A4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3A4C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93713A" w:rsidRDefault="00E320DA" w:rsidP="00E32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320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="003A4C5C" w:rsidRPr="003A4C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General Office of the State Council issued the "New Energy Automobile Industry Development Plan (2021-2035)"</w:t>
      </w:r>
      <w:r w:rsidRPr="00E320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URL: </w:t>
      </w:r>
      <w:hyperlink r:id="rId6" w:history="1">
        <w:r w:rsidR="003A4C5C" w:rsidRPr="00251FC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http://en.caam.org.cn/Index/show/catid/21/id/1567.html</w:t>
        </w:r>
      </w:hyperlink>
      <w:r w:rsidR="003A4C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B62411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96BF7"/>
    <w:multiLevelType w:val="hybridMultilevel"/>
    <w:tmpl w:val="6E82F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60967"/>
    <w:multiLevelType w:val="hybridMultilevel"/>
    <w:tmpl w:val="B9BE5BDA"/>
    <w:lvl w:ilvl="0" w:tplc="95742376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829137">
    <w:abstractNumId w:val="1"/>
  </w:num>
  <w:num w:numId="2" w16cid:durableId="119978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2D"/>
    <w:rsid w:val="000007D1"/>
    <w:rsid w:val="000967D7"/>
    <w:rsid w:val="000A5B6F"/>
    <w:rsid w:val="001119E4"/>
    <w:rsid w:val="001953A5"/>
    <w:rsid w:val="001B52AA"/>
    <w:rsid w:val="002647C2"/>
    <w:rsid w:val="00275BB0"/>
    <w:rsid w:val="002A6A2D"/>
    <w:rsid w:val="002C13F5"/>
    <w:rsid w:val="003567BA"/>
    <w:rsid w:val="003A4C5C"/>
    <w:rsid w:val="004F14BC"/>
    <w:rsid w:val="005230F7"/>
    <w:rsid w:val="005757F3"/>
    <w:rsid w:val="0058342D"/>
    <w:rsid w:val="005D5B22"/>
    <w:rsid w:val="005E386D"/>
    <w:rsid w:val="00656879"/>
    <w:rsid w:val="00684C68"/>
    <w:rsid w:val="006A0C1C"/>
    <w:rsid w:val="006B339E"/>
    <w:rsid w:val="00761E31"/>
    <w:rsid w:val="007B4530"/>
    <w:rsid w:val="007E14FE"/>
    <w:rsid w:val="00884E49"/>
    <w:rsid w:val="008C238E"/>
    <w:rsid w:val="008D3ED2"/>
    <w:rsid w:val="008E3E6C"/>
    <w:rsid w:val="0093713A"/>
    <w:rsid w:val="0098196F"/>
    <w:rsid w:val="009F48FC"/>
    <w:rsid w:val="00A205AB"/>
    <w:rsid w:val="00AA7B34"/>
    <w:rsid w:val="00B55EB0"/>
    <w:rsid w:val="00B62411"/>
    <w:rsid w:val="00B7302A"/>
    <w:rsid w:val="00BA6C93"/>
    <w:rsid w:val="00C225E5"/>
    <w:rsid w:val="00CA0150"/>
    <w:rsid w:val="00CA4E36"/>
    <w:rsid w:val="00CB1B2D"/>
    <w:rsid w:val="00D03573"/>
    <w:rsid w:val="00DB4176"/>
    <w:rsid w:val="00DE6E76"/>
    <w:rsid w:val="00E23377"/>
    <w:rsid w:val="00E320DA"/>
    <w:rsid w:val="00E47437"/>
    <w:rsid w:val="00E57677"/>
    <w:rsid w:val="00F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E14AD"/>
  <w15:docId w15:val="{6BB17D1B-02F4-644D-9A9E-0090750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93713A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7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7B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320DA"/>
    <w:rPr>
      <w:lang w:val="ru-RU" w:eastAsia="ru-RU"/>
    </w:rPr>
  </w:style>
  <w:style w:type="character" w:styleId="UnresolvedMention">
    <w:name w:val="Unresolved Mention"/>
    <w:uiPriority w:val="99"/>
    <w:semiHidden/>
    <w:unhideWhenUsed/>
    <w:rsid w:val="00E320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68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caam.org.cn/Index/show/catid/21/id/1567.html" TargetMode="External"/><Relationship Id="rId5" Type="http://schemas.openxmlformats.org/officeDocument/2006/relationships/hyperlink" Target="mailto:nakleskina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85;&#1072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C:\Users\Анна\Downloads\Шаблон_Востоковедение.dotx</Template>
  <TotalTime>1</TotalTime>
  <Pages>2</Pages>
  <Words>508</Words>
  <Characters>3598</Characters>
  <Application>Microsoft Office Word</Application>
  <DocSecurity>0</DocSecurity>
  <Lines>60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Links>
    <vt:vector size="12" baseType="variant">
      <vt:variant>
        <vt:i4>2621544</vt:i4>
      </vt:variant>
      <vt:variant>
        <vt:i4>3</vt:i4>
      </vt:variant>
      <vt:variant>
        <vt:i4>0</vt:i4>
      </vt:variant>
      <vt:variant>
        <vt:i4>5</vt:i4>
      </vt:variant>
      <vt:variant>
        <vt:lpwstr>http://en.caam.org.cn/Index/show/catid/21/id/1567.html</vt:lpwstr>
      </vt:variant>
      <vt:variant>
        <vt:lpwstr/>
      </vt:variant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mailto:nakleskina@gmail.com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Anna Nakleskina</cp:lastModifiedBy>
  <cp:revision>2</cp:revision>
  <dcterms:created xsi:type="dcterms:W3CDTF">2026-03-09T20:36:00Z</dcterms:created>
  <dcterms:modified xsi:type="dcterms:W3CDTF">2026-03-09T20:36:00Z</dcterms:modified>
</cp:coreProperties>
</file>