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574" w:rsidRDefault="00ED3DE1" w:rsidP="00D01574">
      <w:pPr>
        <w:spacing w:line="240" w:lineRule="auto"/>
        <w:jc w:val="center"/>
        <w:rPr>
          <w:rFonts w:ascii="Times New Roman" w:hAnsi="Times New Roman" w:cs="Times New Roman"/>
          <w:b/>
          <w:sz w:val="24"/>
          <w:lang w:val="ru-RU"/>
        </w:rPr>
      </w:pPr>
      <w:r w:rsidRPr="00ED3DE1">
        <w:rPr>
          <w:rFonts w:ascii="Times New Roman" w:hAnsi="Times New Roman" w:cs="Times New Roman"/>
          <w:b/>
          <w:sz w:val="24"/>
          <w:lang w:val="ru-RU"/>
        </w:rPr>
        <w:t xml:space="preserve">Турецкие государственные финансы в условиях смены парадигмы макроэкономического развития </w:t>
      </w:r>
      <w:r w:rsidR="00D01574">
        <w:rPr>
          <w:rFonts w:ascii="Times New Roman" w:hAnsi="Times New Roman" w:cs="Times New Roman"/>
          <w:b/>
          <w:sz w:val="24"/>
          <w:lang w:val="ru-RU"/>
        </w:rPr>
        <w:t>(</w:t>
      </w:r>
      <w:r w:rsidRPr="00ED3DE1">
        <w:rPr>
          <w:rFonts w:ascii="Times New Roman" w:hAnsi="Times New Roman" w:cs="Times New Roman"/>
          <w:b/>
          <w:sz w:val="24"/>
          <w:lang w:val="ru-RU"/>
        </w:rPr>
        <w:t>2018-2025 гг.</w:t>
      </w:r>
      <w:r w:rsidR="00D01574">
        <w:rPr>
          <w:rFonts w:ascii="Times New Roman" w:hAnsi="Times New Roman" w:cs="Times New Roman"/>
          <w:b/>
          <w:sz w:val="24"/>
          <w:lang w:val="ru-RU"/>
        </w:rPr>
        <w:t>)</w:t>
      </w:r>
    </w:p>
    <w:p w:rsidR="00ED3DE1" w:rsidRPr="00D01574" w:rsidRDefault="00ED3DE1" w:rsidP="00D01574">
      <w:pPr>
        <w:spacing w:line="240" w:lineRule="auto"/>
        <w:jc w:val="center"/>
        <w:rPr>
          <w:rFonts w:ascii="Times New Roman" w:hAnsi="Times New Roman" w:cs="Times New Roman"/>
          <w:b/>
          <w:sz w:val="24"/>
          <w:lang w:val="ru-RU"/>
        </w:rPr>
      </w:pPr>
      <w:r w:rsidRPr="00D01574">
        <w:rPr>
          <w:rFonts w:ascii="Times New Roman" w:hAnsi="Times New Roman" w:cs="Times New Roman"/>
          <w:b/>
          <w:i/>
          <w:sz w:val="24"/>
          <w:lang w:val="ru-RU"/>
        </w:rPr>
        <w:t xml:space="preserve">Картузова Дария Олеговна </w:t>
      </w:r>
    </w:p>
    <w:p w:rsidR="00ED3DE1" w:rsidRDefault="00ED3DE1" w:rsidP="00D01574">
      <w:pPr>
        <w:spacing w:line="240" w:lineRule="auto"/>
        <w:jc w:val="center"/>
        <w:rPr>
          <w:rFonts w:ascii="Times New Roman" w:hAnsi="Times New Roman" w:cs="Times New Roman"/>
          <w:i/>
          <w:sz w:val="24"/>
          <w:lang w:val="ru-RU"/>
        </w:rPr>
      </w:pPr>
      <w:r>
        <w:rPr>
          <w:rFonts w:ascii="Times New Roman" w:hAnsi="Times New Roman" w:cs="Times New Roman"/>
          <w:i/>
          <w:sz w:val="24"/>
          <w:lang w:val="ru-RU"/>
        </w:rPr>
        <w:t>Московский Государственный У</w:t>
      </w:r>
      <w:r w:rsidR="00123A0F">
        <w:rPr>
          <w:rFonts w:ascii="Times New Roman" w:hAnsi="Times New Roman" w:cs="Times New Roman"/>
          <w:i/>
          <w:sz w:val="24"/>
          <w:lang w:val="ru-RU"/>
        </w:rPr>
        <w:t>ниверс</w:t>
      </w:r>
      <w:r>
        <w:rPr>
          <w:rFonts w:ascii="Times New Roman" w:hAnsi="Times New Roman" w:cs="Times New Roman"/>
          <w:i/>
          <w:sz w:val="24"/>
          <w:lang w:val="ru-RU"/>
        </w:rPr>
        <w:t xml:space="preserve">итет им. М.В. Ломоносова </w:t>
      </w:r>
    </w:p>
    <w:p w:rsidR="00ED3DE1" w:rsidRDefault="00ED3DE1" w:rsidP="00D01574">
      <w:pPr>
        <w:spacing w:line="240" w:lineRule="auto"/>
        <w:jc w:val="center"/>
        <w:rPr>
          <w:rFonts w:ascii="Times New Roman" w:hAnsi="Times New Roman" w:cs="Times New Roman"/>
          <w:i/>
          <w:sz w:val="24"/>
          <w:lang w:val="ru-RU"/>
        </w:rPr>
      </w:pPr>
      <w:r>
        <w:rPr>
          <w:rFonts w:ascii="Times New Roman" w:hAnsi="Times New Roman" w:cs="Times New Roman"/>
          <w:i/>
          <w:sz w:val="24"/>
          <w:lang w:val="ru-RU"/>
        </w:rPr>
        <w:t>Институт стран Азии и Африки, Москва, Россия</w:t>
      </w:r>
    </w:p>
    <w:p w:rsidR="00ED3DE1" w:rsidRPr="00ED3DE1" w:rsidRDefault="00ED3DE1" w:rsidP="00D01574">
      <w:pPr>
        <w:spacing w:line="240" w:lineRule="auto"/>
        <w:jc w:val="center"/>
        <w:rPr>
          <w:rFonts w:ascii="Times New Roman" w:hAnsi="Times New Roman" w:cs="Times New Roman"/>
          <w:i/>
          <w:sz w:val="24"/>
          <w:lang w:val="de-DE"/>
        </w:rPr>
      </w:pPr>
      <w:r>
        <w:rPr>
          <w:rFonts w:ascii="Times New Roman" w:hAnsi="Times New Roman" w:cs="Times New Roman"/>
          <w:i/>
          <w:sz w:val="24"/>
          <w:lang w:val="de-DE"/>
        </w:rPr>
        <w:t>E</w:t>
      </w:r>
      <w:r w:rsidRPr="00ED3DE1">
        <w:rPr>
          <w:rFonts w:ascii="Times New Roman" w:hAnsi="Times New Roman" w:cs="Times New Roman"/>
          <w:i/>
          <w:sz w:val="24"/>
          <w:lang w:val="de-DE"/>
        </w:rPr>
        <w:t>-</w:t>
      </w:r>
      <w:r>
        <w:rPr>
          <w:rFonts w:ascii="Times New Roman" w:hAnsi="Times New Roman" w:cs="Times New Roman"/>
          <w:i/>
          <w:sz w:val="24"/>
          <w:lang w:val="de-DE"/>
        </w:rPr>
        <w:t>mail</w:t>
      </w:r>
      <w:r w:rsidRPr="00ED3DE1">
        <w:rPr>
          <w:rFonts w:ascii="Times New Roman" w:hAnsi="Times New Roman" w:cs="Times New Roman"/>
          <w:i/>
          <w:sz w:val="24"/>
          <w:lang w:val="de-DE"/>
        </w:rPr>
        <w:t xml:space="preserve">: </w:t>
      </w:r>
      <w:r>
        <w:rPr>
          <w:rFonts w:ascii="Times New Roman" w:hAnsi="Times New Roman" w:cs="Times New Roman"/>
          <w:i/>
          <w:sz w:val="24"/>
          <w:lang w:val="de-DE"/>
        </w:rPr>
        <w:t>dariya</w:t>
      </w:r>
      <w:r w:rsidRPr="00ED3DE1">
        <w:rPr>
          <w:rFonts w:ascii="Times New Roman" w:hAnsi="Times New Roman" w:cs="Times New Roman"/>
          <w:i/>
          <w:sz w:val="24"/>
          <w:lang w:val="de-DE"/>
        </w:rPr>
        <w:t>.</w:t>
      </w:r>
      <w:r>
        <w:rPr>
          <w:rFonts w:ascii="Times New Roman" w:hAnsi="Times New Roman" w:cs="Times New Roman"/>
          <w:i/>
          <w:sz w:val="24"/>
          <w:lang w:val="de-DE"/>
        </w:rPr>
        <w:t>kartuzova</w:t>
      </w:r>
      <w:r w:rsidRPr="00ED3DE1">
        <w:rPr>
          <w:rFonts w:ascii="Times New Roman" w:hAnsi="Times New Roman" w:cs="Times New Roman"/>
          <w:i/>
          <w:sz w:val="24"/>
          <w:lang w:val="de-DE"/>
        </w:rPr>
        <w:t>@</w:t>
      </w:r>
      <w:r>
        <w:rPr>
          <w:rFonts w:ascii="Times New Roman" w:hAnsi="Times New Roman" w:cs="Times New Roman"/>
          <w:i/>
          <w:sz w:val="24"/>
          <w:lang w:val="de-DE"/>
        </w:rPr>
        <w:t>mail</w:t>
      </w:r>
      <w:r w:rsidRPr="00ED3DE1">
        <w:rPr>
          <w:rFonts w:ascii="Times New Roman" w:hAnsi="Times New Roman" w:cs="Times New Roman"/>
          <w:i/>
          <w:sz w:val="24"/>
          <w:lang w:val="de-DE"/>
        </w:rPr>
        <w:t>.</w:t>
      </w:r>
      <w:r>
        <w:rPr>
          <w:rFonts w:ascii="Times New Roman" w:hAnsi="Times New Roman" w:cs="Times New Roman"/>
          <w:i/>
          <w:sz w:val="24"/>
          <w:lang w:val="de-DE"/>
        </w:rPr>
        <w:t>ru</w:t>
      </w:r>
    </w:p>
    <w:p w:rsidR="00ED3DE1" w:rsidRPr="00ED3DE1" w:rsidRDefault="00ED3DE1" w:rsidP="00ED3DE1">
      <w:pPr>
        <w:spacing w:line="240" w:lineRule="auto"/>
        <w:ind w:firstLine="720"/>
        <w:jc w:val="both"/>
        <w:rPr>
          <w:rFonts w:ascii="Times New Roman" w:hAnsi="Times New Roman" w:cs="Times New Roman"/>
          <w:sz w:val="24"/>
          <w:lang w:val="ru-RU"/>
        </w:rPr>
      </w:pPr>
      <w:r w:rsidRPr="00ED3DE1">
        <w:rPr>
          <w:rFonts w:ascii="Times New Roman" w:hAnsi="Times New Roman" w:cs="Times New Roman"/>
          <w:sz w:val="24"/>
          <w:lang w:val="ru-RU"/>
        </w:rPr>
        <w:t>Система государственных финансов Турецкой Республики в разные годы своего существования переживала многочисленные вызовы и проблемы. Период нахождения у власти Партии справедливости и развития и Р.Т. Эрдогана не стал исключением. Рассматривая систему турецких госфинансов за выбранный период экономического развития, мы можем увидеть как период определенных успехов, так и эпизоды кризисных обострений. Особый интерес представляет вопрос о том, как попытка перенести центр тяжести финансирования с внешних источников на внутренние сказалась на устойчивости государственных финансов.</w:t>
      </w:r>
    </w:p>
    <w:p w:rsidR="00ED3DE1" w:rsidRPr="00ED3DE1" w:rsidRDefault="00ED3DE1" w:rsidP="00ED3DE1">
      <w:pPr>
        <w:spacing w:line="240" w:lineRule="auto"/>
        <w:ind w:firstLine="720"/>
        <w:jc w:val="both"/>
        <w:rPr>
          <w:rFonts w:ascii="Times New Roman" w:hAnsi="Times New Roman" w:cs="Times New Roman"/>
          <w:sz w:val="24"/>
          <w:lang w:val="ru-RU"/>
        </w:rPr>
      </w:pPr>
      <w:r w:rsidRPr="00ED3DE1">
        <w:rPr>
          <w:rFonts w:ascii="Times New Roman" w:hAnsi="Times New Roman" w:cs="Times New Roman"/>
          <w:sz w:val="24"/>
          <w:lang w:val="ru-RU"/>
        </w:rPr>
        <w:t>Первое десятилетие правления ПСР вошло в историю как «золотой период» турецкой экономики. Бюджетный дефицит со</w:t>
      </w:r>
      <w:r w:rsidR="00123A0F">
        <w:rPr>
          <w:rFonts w:ascii="Times New Roman" w:hAnsi="Times New Roman" w:cs="Times New Roman"/>
          <w:sz w:val="24"/>
          <w:lang w:val="ru-RU"/>
        </w:rPr>
        <w:t>кратился с 11,2% ВВП в 2002 г.</w:t>
      </w:r>
      <w:r w:rsidRPr="00ED3DE1">
        <w:rPr>
          <w:rFonts w:ascii="Times New Roman" w:hAnsi="Times New Roman" w:cs="Times New Roman"/>
          <w:sz w:val="24"/>
          <w:lang w:val="ru-RU"/>
        </w:rPr>
        <w:t xml:space="preserve"> до 0,6% в 2006-м, а инфляция впервые за десятилетия опустилась до однозначных значений. Однако успехи эти были достигнуты не только благодаря внутренней дисциплине. Важнейшую роль сыграл внешний фактор: сотрудничество с МВФ по программе «Stand-by», приток иностранных инвестиций и возможность размещения еврооблигаций под относительно низкий процент. Фактически Турция получила доступ к дешевым внешним ресурсам, что позволило финансировать рост без чрезмерного давления на внутренний финансовый рынок. </w:t>
      </w:r>
    </w:p>
    <w:p w:rsidR="00ED3DE1" w:rsidRPr="00ED3DE1" w:rsidRDefault="00ED3DE1" w:rsidP="00ED3DE1">
      <w:pPr>
        <w:spacing w:line="240" w:lineRule="auto"/>
        <w:ind w:firstLine="720"/>
        <w:jc w:val="both"/>
        <w:rPr>
          <w:rFonts w:ascii="Times New Roman" w:hAnsi="Times New Roman" w:cs="Times New Roman"/>
          <w:sz w:val="24"/>
          <w:lang w:val="ru-RU"/>
        </w:rPr>
      </w:pPr>
      <w:r w:rsidRPr="00ED3DE1">
        <w:rPr>
          <w:rFonts w:ascii="Times New Roman" w:hAnsi="Times New Roman" w:cs="Times New Roman"/>
          <w:sz w:val="24"/>
          <w:lang w:val="ru-RU"/>
        </w:rPr>
        <w:t>Переломным моментом, как представляется, стал 2018 г. Валютный кризис, разразившийся на фоне политических противоречий с США, и последовавшая за ним девальвация лиры заставили правительство пересмотреть прежнюю модель, переориентировавшись на внутренние резервы. Так называемая «эрдоганомика» предполагала отказ от традиционной зависимости от внешних заимствований и ставку на дешевые кредиты для национального производителя. Опора на собственные силы должна обеспечить экономический суверенитет. Однако для государственных финансов в условиях ограниченности национальной экономики эта смена ориентиров обернулась серьезными последствиями.</w:t>
      </w:r>
    </w:p>
    <w:p w:rsidR="00ED3DE1" w:rsidRPr="00ED3DE1" w:rsidRDefault="00ED3DE1" w:rsidP="00ED3DE1">
      <w:pPr>
        <w:spacing w:line="240" w:lineRule="auto"/>
        <w:ind w:firstLine="720"/>
        <w:jc w:val="both"/>
        <w:rPr>
          <w:rFonts w:ascii="Times New Roman" w:hAnsi="Times New Roman" w:cs="Times New Roman"/>
          <w:sz w:val="24"/>
          <w:lang w:val="ru-RU"/>
        </w:rPr>
      </w:pPr>
      <w:r w:rsidRPr="00ED3DE1">
        <w:rPr>
          <w:rFonts w:ascii="Times New Roman" w:hAnsi="Times New Roman" w:cs="Times New Roman"/>
          <w:sz w:val="24"/>
          <w:lang w:val="ru-RU"/>
        </w:rPr>
        <w:t xml:space="preserve">К тому же в условиях пандемии правительство пошло на масштабные налоговые послабления для бизнеса и потребителей, ввело льготы для экспортеров и особые режимы для технопарков, отсрочки для уплаты НДС.  В итоге, </w:t>
      </w:r>
      <w:r w:rsidR="00123A0F" w:rsidRPr="00123A0F">
        <w:rPr>
          <w:rFonts w:ascii="Times New Roman" w:hAnsi="Times New Roman" w:cs="Times New Roman"/>
          <w:sz w:val="24"/>
          <w:lang w:val="ru-RU"/>
        </w:rPr>
        <w:t xml:space="preserve">к началу 2020-х гг. </w:t>
      </w:r>
      <w:r w:rsidRPr="00ED3DE1">
        <w:rPr>
          <w:rFonts w:ascii="Times New Roman" w:hAnsi="Times New Roman" w:cs="Times New Roman"/>
          <w:sz w:val="24"/>
          <w:lang w:val="ru-RU"/>
        </w:rPr>
        <w:t xml:space="preserve">налоговая нагрузка снизилась не менее, чем на 7 </w:t>
      </w:r>
      <w:r w:rsidR="00123A0F">
        <w:rPr>
          <w:rFonts w:ascii="Times New Roman" w:hAnsi="Times New Roman" w:cs="Times New Roman"/>
          <w:sz w:val="24"/>
          <w:lang w:val="ru-RU"/>
        </w:rPr>
        <w:t xml:space="preserve">процентных </w:t>
      </w:r>
      <w:r w:rsidRPr="00ED3DE1">
        <w:rPr>
          <w:rFonts w:ascii="Times New Roman" w:hAnsi="Times New Roman" w:cs="Times New Roman"/>
          <w:sz w:val="24"/>
          <w:lang w:val="ru-RU"/>
        </w:rPr>
        <w:t>пунктов, до 15–17% ВВП.</w:t>
      </w:r>
    </w:p>
    <w:p w:rsidR="00ED3DE1" w:rsidRPr="00ED3DE1" w:rsidRDefault="00ED3DE1" w:rsidP="00ED3DE1">
      <w:pPr>
        <w:spacing w:line="240" w:lineRule="auto"/>
        <w:ind w:firstLine="720"/>
        <w:jc w:val="both"/>
        <w:rPr>
          <w:rFonts w:ascii="Times New Roman" w:hAnsi="Times New Roman" w:cs="Times New Roman"/>
          <w:sz w:val="24"/>
          <w:lang w:val="ru-RU"/>
        </w:rPr>
      </w:pPr>
      <w:r w:rsidRPr="00ED3DE1">
        <w:rPr>
          <w:rFonts w:ascii="Times New Roman" w:hAnsi="Times New Roman" w:cs="Times New Roman"/>
          <w:sz w:val="24"/>
          <w:lang w:val="ru-RU"/>
        </w:rPr>
        <w:t>При этом расходная часть бюджета не только не сокращалась, но и демонстрировала устойчивый рост. Социальные обязательства государства расширялись: пенсии и зарплаты бюджетников индексировались темпами, опережавшими инфляцию. Военные расходы после 2016 г. также увеличились в связи с операциями в Сирии и Ливии. Землетрясение февраля 2023 г. потребовало экстренных бюджетных вливаний в размере около 250 млрд</w:t>
      </w:r>
      <w:r w:rsidR="00123A0F">
        <w:rPr>
          <w:rFonts w:ascii="Times New Roman" w:hAnsi="Times New Roman" w:cs="Times New Roman"/>
          <w:sz w:val="24"/>
          <w:lang w:val="ru-RU"/>
        </w:rPr>
        <w:t>.</w:t>
      </w:r>
      <w:r w:rsidRPr="00ED3DE1">
        <w:rPr>
          <w:rFonts w:ascii="Times New Roman" w:hAnsi="Times New Roman" w:cs="Times New Roman"/>
          <w:sz w:val="24"/>
          <w:lang w:val="ru-RU"/>
        </w:rPr>
        <w:t xml:space="preserve"> </w:t>
      </w:r>
      <w:r w:rsidR="00123A0F">
        <w:rPr>
          <w:rFonts w:ascii="Times New Roman" w:hAnsi="Times New Roman" w:cs="Times New Roman"/>
          <w:sz w:val="24"/>
          <w:lang w:val="ru-RU"/>
        </w:rPr>
        <w:t xml:space="preserve">тур. </w:t>
      </w:r>
      <w:r w:rsidRPr="00ED3DE1">
        <w:rPr>
          <w:rFonts w:ascii="Times New Roman" w:hAnsi="Times New Roman" w:cs="Times New Roman"/>
          <w:sz w:val="24"/>
          <w:lang w:val="ru-RU"/>
        </w:rPr>
        <w:t xml:space="preserve">лир. В результате доля расходов в ВВП на протяжении всего рассматриваемого периода держалась </w:t>
      </w:r>
      <w:r w:rsidRPr="00D01574">
        <w:rPr>
          <w:rFonts w:ascii="Times New Roman" w:hAnsi="Times New Roman" w:cs="Times New Roman"/>
          <w:sz w:val="24"/>
          <w:lang w:val="ru-RU"/>
        </w:rPr>
        <w:t>выше 20%, достигнув в 2023 г. максимума.</w:t>
      </w:r>
    </w:p>
    <w:p w:rsidR="00ED3DE1" w:rsidRPr="00ED3DE1" w:rsidRDefault="00ED3DE1" w:rsidP="00ED3DE1">
      <w:pPr>
        <w:spacing w:line="240" w:lineRule="auto"/>
        <w:ind w:firstLine="720"/>
        <w:jc w:val="both"/>
        <w:rPr>
          <w:rFonts w:ascii="Times New Roman" w:hAnsi="Times New Roman" w:cs="Times New Roman"/>
          <w:sz w:val="24"/>
          <w:lang w:val="ru-RU"/>
        </w:rPr>
      </w:pPr>
      <w:r w:rsidRPr="00ED3DE1">
        <w:rPr>
          <w:rFonts w:ascii="Times New Roman" w:hAnsi="Times New Roman" w:cs="Times New Roman"/>
          <w:sz w:val="24"/>
          <w:lang w:val="ru-RU"/>
        </w:rPr>
        <w:t>Закономерным итогом стал разбалансированный бюджет. Дефицит, составлявший в 2</w:t>
      </w:r>
      <w:r w:rsidR="00123A0F">
        <w:rPr>
          <w:rFonts w:ascii="Times New Roman" w:hAnsi="Times New Roman" w:cs="Times New Roman"/>
          <w:sz w:val="24"/>
          <w:lang w:val="ru-RU"/>
        </w:rPr>
        <w:t>018 г. около 2% ВВП, к 2023 г.</w:t>
      </w:r>
      <w:r w:rsidRPr="00ED3DE1">
        <w:rPr>
          <w:rFonts w:ascii="Times New Roman" w:hAnsi="Times New Roman" w:cs="Times New Roman"/>
          <w:sz w:val="24"/>
          <w:lang w:val="ru-RU"/>
        </w:rPr>
        <w:t xml:space="preserve"> вырос до 5,4%. Первичный бюджет (без учета процентных </w:t>
      </w:r>
      <w:r w:rsidRPr="00ED3DE1">
        <w:rPr>
          <w:rFonts w:ascii="Times New Roman" w:hAnsi="Times New Roman" w:cs="Times New Roman"/>
          <w:sz w:val="24"/>
          <w:lang w:val="ru-RU"/>
        </w:rPr>
        <w:lastRenderedPageBreak/>
        <w:t>выплат) из профицитного превратился в дефицитный, лишив государство реальных источников на обслуживание долга. Центральный банк под давлением правительства проводил сверхмягкую денежно-кредитную политику, фактически финансируя дефицит страны.</w:t>
      </w:r>
      <w:r>
        <w:rPr>
          <w:rFonts w:ascii="Times New Roman" w:hAnsi="Times New Roman" w:cs="Times New Roman"/>
          <w:sz w:val="24"/>
          <w:lang w:val="ru-RU"/>
        </w:rPr>
        <w:t xml:space="preserve"> </w:t>
      </w:r>
      <w:r w:rsidRPr="00ED3DE1">
        <w:rPr>
          <w:rFonts w:ascii="Times New Roman" w:hAnsi="Times New Roman" w:cs="Times New Roman"/>
          <w:sz w:val="24"/>
          <w:lang w:val="ru-RU"/>
        </w:rPr>
        <w:t>Результатом стала инфляция, достигшая 80% в 2022 г., и усугубившая падение стоимости лиры из-за снижения интереса иностранных инвесторов к турецкому рынка в условиях низких процентных ставок.</w:t>
      </w:r>
    </w:p>
    <w:p w:rsidR="00ED3DE1" w:rsidRPr="00ED3DE1" w:rsidRDefault="00ED3DE1" w:rsidP="00ED3DE1">
      <w:pPr>
        <w:spacing w:line="240" w:lineRule="auto"/>
        <w:ind w:firstLine="720"/>
        <w:jc w:val="both"/>
        <w:rPr>
          <w:rFonts w:ascii="Times New Roman" w:hAnsi="Times New Roman" w:cs="Times New Roman"/>
          <w:sz w:val="24"/>
          <w:lang w:val="ru-RU"/>
        </w:rPr>
      </w:pPr>
      <w:r w:rsidRPr="00ED3DE1">
        <w:rPr>
          <w:rFonts w:ascii="Times New Roman" w:hAnsi="Times New Roman" w:cs="Times New Roman"/>
          <w:sz w:val="24"/>
          <w:lang w:val="ru-RU"/>
        </w:rPr>
        <w:t>Таким образом, смена парадигмы макроэкономического развития после 2018 г. привела к воспроизводству классической для Турции модели: нарушение фискальной дисциплины и переход к стимулирующей политике обернулись хроническим бюджетным дефицитом и инфляцией. Внешние источники финансирования в «золотой период» высоких ставок выполняли стабилизирующую функцию, позволяя покрывать дефицит без эмиссионных последствий. Когда же правительство попыталось перенести тяжесть финансирования на внутренние ресурсы, оказалось, что они недостаточны для замены внешних заимствований.</w:t>
      </w:r>
    </w:p>
    <w:p w:rsidR="00ED3DE1" w:rsidRPr="00ED3DE1" w:rsidRDefault="00ED3DE1" w:rsidP="00ED3DE1">
      <w:pPr>
        <w:spacing w:line="240" w:lineRule="auto"/>
        <w:ind w:firstLine="720"/>
        <w:jc w:val="both"/>
        <w:rPr>
          <w:rFonts w:ascii="Times New Roman" w:hAnsi="Times New Roman" w:cs="Times New Roman"/>
          <w:sz w:val="24"/>
          <w:lang w:val="ru-RU"/>
        </w:rPr>
      </w:pPr>
      <w:r w:rsidRPr="00ED3DE1">
        <w:rPr>
          <w:rFonts w:ascii="Times New Roman" w:hAnsi="Times New Roman" w:cs="Times New Roman"/>
          <w:sz w:val="24"/>
          <w:lang w:val="ru-RU"/>
        </w:rPr>
        <w:t>Вопрос о том, насколько быстро удастся вернуться к сбалансированной бюджетной политике, остается открытым, однако опыт предыдущих десятилетий показывает: выход из подобных кризисов требует не только фискальных ограничений, но и решения структурных проблем экономики.</w:t>
      </w:r>
    </w:p>
    <w:p w:rsidR="00DF6CF4" w:rsidRDefault="00DF6CF4" w:rsidP="00ED3DE1">
      <w:pPr>
        <w:spacing w:line="240" w:lineRule="auto"/>
        <w:jc w:val="both"/>
        <w:rPr>
          <w:rFonts w:ascii="Times New Roman" w:hAnsi="Times New Roman" w:cs="Times New Roman"/>
          <w:sz w:val="24"/>
          <w:lang w:val="ru-RU"/>
        </w:rPr>
      </w:pPr>
    </w:p>
    <w:p w:rsidR="0093082F" w:rsidRPr="00D01574" w:rsidRDefault="0093082F" w:rsidP="0093082F">
      <w:pPr>
        <w:jc w:val="center"/>
        <w:rPr>
          <w:rFonts w:ascii="Times New Roman" w:hAnsi="Times New Roman" w:cs="Times New Roman"/>
          <w:b/>
          <w:sz w:val="24"/>
          <w:lang w:val="ru-RU"/>
        </w:rPr>
      </w:pPr>
      <w:r>
        <w:rPr>
          <w:rFonts w:ascii="Times New Roman" w:hAnsi="Times New Roman" w:cs="Times New Roman"/>
          <w:b/>
          <w:sz w:val="24"/>
          <w:lang w:val="ru-RU"/>
        </w:rPr>
        <w:t>Источники</w:t>
      </w:r>
      <w:r w:rsidRPr="00D01574">
        <w:rPr>
          <w:rFonts w:ascii="Times New Roman" w:hAnsi="Times New Roman" w:cs="Times New Roman"/>
          <w:b/>
          <w:sz w:val="24"/>
          <w:lang w:val="ru-RU"/>
        </w:rPr>
        <w:t xml:space="preserve"> </w:t>
      </w:r>
      <w:r>
        <w:rPr>
          <w:rFonts w:ascii="Times New Roman" w:hAnsi="Times New Roman" w:cs="Times New Roman"/>
          <w:b/>
          <w:sz w:val="24"/>
          <w:lang w:val="ru-RU"/>
        </w:rPr>
        <w:t>и</w:t>
      </w:r>
      <w:r w:rsidRPr="00D01574">
        <w:rPr>
          <w:rFonts w:ascii="Times New Roman" w:hAnsi="Times New Roman" w:cs="Times New Roman"/>
          <w:b/>
          <w:sz w:val="24"/>
          <w:lang w:val="ru-RU"/>
        </w:rPr>
        <w:t xml:space="preserve"> </w:t>
      </w:r>
      <w:r>
        <w:rPr>
          <w:rFonts w:ascii="Times New Roman" w:hAnsi="Times New Roman" w:cs="Times New Roman"/>
          <w:b/>
          <w:sz w:val="24"/>
          <w:lang w:val="ru-RU"/>
        </w:rPr>
        <w:t>литература</w:t>
      </w:r>
    </w:p>
    <w:p w:rsidR="00D01574" w:rsidRPr="00D01574" w:rsidRDefault="00D01574" w:rsidP="00D01574">
      <w:pPr>
        <w:pStyle w:val="a7"/>
        <w:numPr>
          <w:ilvl w:val="0"/>
          <w:numId w:val="1"/>
        </w:numPr>
        <w:spacing w:line="240" w:lineRule="auto"/>
        <w:jc w:val="both"/>
        <w:rPr>
          <w:rFonts w:ascii="Times New Roman" w:hAnsi="Times New Roman" w:cs="Times New Roman"/>
          <w:sz w:val="24"/>
        </w:rPr>
      </w:pPr>
      <w:r w:rsidRPr="00D01574">
        <w:rPr>
          <w:rFonts w:ascii="Times New Roman" w:hAnsi="Times New Roman" w:cs="Times New Roman"/>
          <w:sz w:val="24"/>
          <w:lang w:val="ru-RU"/>
        </w:rPr>
        <w:t>Ульченко Н.Ю. Формирование закономерностей экономического развития Турции: институциональные аспекты. // Москва. ИВ</w:t>
      </w:r>
      <w:r w:rsidRPr="00D01574">
        <w:rPr>
          <w:rFonts w:ascii="Times New Roman" w:hAnsi="Times New Roman" w:cs="Times New Roman"/>
          <w:sz w:val="24"/>
        </w:rPr>
        <w:t xml:space="preserve"> </w:t>
      </w:r>
      <w:r w:rsidRPr="00D01574">
        <w:rPr>
          <w:rFonts w:ascii="Times New Roman" w:hAnsi="Times New Roman" w:cs="Times New Roman"/>
          <w:sz w:val="24"/>
          <w:lang w:val="ru-RU"/>
        </w:rPr>
        <w:t>РАН</w:t>
      </w:r>
      <w:r w:rsidRPr="00D01574">
        <w:rPr>
          <w:rFonts w:ascii="Times New Roman" w:hAnsi="Times New Roman" w:cs="Times New Roman"/>
          <w:sz w:val="24"/>
        </w:rPr>
        <w:t>, 2002.</w:t>
      </w:r>
    </w:p>
    <w:p w:rsidR="00D01574" w:rsidRPr="00D01574" w:rsidRDefault="00D01574" w:rsidP="00D01574">
      <w:pPr>
        <w:pStyle w:val="a7"/>
        <w:numPr>
          <w:ilvl w:val="0"/>
          <w:numId w:val="1"/>
        </w:numPr>
        <w:spacing w:line="240" w:lineRule="auto"/>
        <w:jc w:val="both"/>
        <w:rPr>
          <w:rFonts w:ascii="Times New Roman" w:hAnsi="Times New Roman" w:cs="Times New Roman"/>
          <w:sz w:val="24"/>
        </w:rPr>
      </w:pPr>
      <w:r w:rsidRPr="00D01574">
        <w:rPr>
          <w:rFonts w:ascii="Times New Roman" w:hAnsi="Times New Roman" w:cs="Times New Roman"/>
          <w:sz w:val="24"/>
        </w:rPr>
        <w:t>1990-2003 Yılları Yıllık Bazlı Konsolide Bütçe İstatistikleri. T.C. Hazine ve Maliye Bakanlığı.</w:t>
      </w:r>
    </w:p>
    <w:p w:rsidR="00D01574" w:rsidRPr="00D01574" w:rsidRDefault="00D01574" w:rsidP="00D01574">
      <w:pPr>
        <w:pStyle w:val="a7"/>
        <w:numPr>
          <w:ilvl w:val="0"/>
          <w:numId w:val="1"/>
        </w:numPr>
        <w:spacing w:line="240" w:lineRule="auto"/>
        <w:jc w:val="both"/>
        <w:rPr>
          <w:rFonts w:ascii="Times New Roman" w:hAnsi="Times New Roman" w:cs="Times New Roman"/>
          <w:sz w:val="24"/>
        </w:rPr>
      </w:pPr>
      <w:r w:rsidRPr="00D01574">
        <w:rPr>
          <w:rFonts w:ascii="Times New Roman" w:hAnsi="Times New Roman" w:cs="Times New Roman"/>
          <w:sz w:val="24"/>
          <w:lang w:val="de-DE"/>
        </w:rPr>
        <w:t xml:space="preserve">T.C. Hazine ve Maliye Bakanlığı. Vergi İstatistikleri 1993-2022. </w:t>
      </w:r>
      <w:r w:rsidRPr="00D01574">
        <w:rPr>
          <w:rFonts w:ascii="Times New Roman" w:hAnsi="Times New Roman" w:cs="Times New Roman"/>
          <w:sz w:val="24"/>
        </w:rPr>
        <w:t xml:space="preserve">URL: https://www.hmb.gov.tr/en/statistics  </w:t>
      </w:r>
      <w:bookmarkStart w:id="0" w:name="_GoBack"/>
      <w:bookmarkEnd w:id="0"/>
    </w:p>
    <w:sectPr w:rsidR="00D01574" w:rsidRPr="00D01574">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64C" w:rsidRDefault="0053664C" w:rsidP="00ED3DE1">
      <w:pPr>
        <w:spacing w:after="0" w:line="240" w:lineRule="auto"/>
      </w:pPr>
      <w:r>
        <w:separator/>
      </w:r>
    </w:p>
  </w:endnote>
  <w:endnote w:type="continuationSeparator" w:id="0">
    <w:p w:rsidR="0053664C" w:rsidRDefault="0053664C" w:rsidP="00ED3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64C" w:rsidRDefault="0053664C" w:rsidP="00ED3DE1">
      <w:pPr>
        <w:spacing w:after="0" w:line="240" w:lineRule="auto"/>
      </w:pPr>
      <w:r>
        <w:separator/>
      </w:r>
    </w:p>
  </w:footnote>
  <w:footnote w:type="continuationSeparator" w:id="0">
    <w:p w:rsidR="0053664C" w:rsidRDefault="0053664C" w:rsidP="00ED3D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5E64A8"/>
    <w:multiLevelType w:val="hybridMultilevel"/>
    <w:tmpl w:val="B0D6B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DE1"/>
    <w:rsid w:val="00123A0F"/>
    <w:rsid w:val="003F2FA1"/>
    <w:rsid w:val="0053664C"/>
    <w:rsid w:val="00652866"/>
    <w:rsid w:val="008852AE"/>
    <w:rsid w:val="0092039A"/>
    <w:rsid w:val="0093082F"/>
    <w:rsid w:val="0098122B"/>
    <w:rsid w:val="00A11BA7"/>
    <w:rsid w:val="00B45943"/>
    <w:rsid w:val="00B54C2D"/>
    <w:rsid w:val="00C903E7"/>
    <w:rsid w:val="00D01574"/>
    <w:rsid w:val="00DF6CF4"/>
    <w:rsid w:val="00EB1731"/>
    <w:rsid w:val="00ED3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BEE8B"/>
  <w15:chartTrackingRefBased/>
  <w15:docId w15:val="{3142A651-36F0-4378-ADC6-AA45F2FA8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3DE1"/>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ED3DE1"/>
  </w:style>
  <w:style w:type="paragraph" w:styleId="a5">
    <w:name w:val="footer"/>
    <w:basedOn w:val="a"/>
    <w:link w:val="a6"/>
    <w:uiPriority w:val="99"/>
    <w:unhideWhenUsed/>
    <w:rsid w:val="00ED3DE1"/>
    <w:pPr>
      <w:tabs>
        <w:tab w:val="center" w:pos="4844"/>
        <w:tab w:val="right" w:pos="9689"/>
      </w:tabs>
      <w:spacing w:after="0" w:line="240" w:lineRule="auto"/>
    </w:pPr>
  </w:style>
  <w:style w:type="character" w:customStyle="1" w:styleId="a6">
    <w:name w:val="Нижний колонтитул Знак"/>
    <w:basedOn w:val="a0"/>
    <w:link w:val="a5"/>
    <w:uiPriority w:val="99"/>
    <w:rsid w:val="00ED3DE1"/>
  </w:style>
  <w:style w:type="paragraph" w:styleId="a7">
    <w:name w:val="List Paragraph"/>
    <w:basedOn w:val="a"/>
    <w:uiPriority w:val="34"/>
    <w:qFormat/>
    <w:rsid w:val="00D015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019466">
      <w:bodyDiv w:val="1"/>
      <w:marLeft w:val="0"/>
      <w:marRight w:val="0"/>
      <w:marTop w:val="0"/>
      <w:marBottom w:val="0"/>
      <w:divBdr>
        <w:top w:val="none" w:sz="0" w:space="0" w:color="auto"/>
        <w:left w:val="none" w:sz="0" w:space="0" w:color="auto"/>
        <w:bottom w:val="none" w:sz="0" w:space="0" w:color="auto"/>
        <w:right w:val="none" w:sz="0" w:space="0" w:color="auto"/>
      </w:divBdr>
    </w:div>
    <w:div w:id="951589122">
      <w:bodyDiv w:val="1"/>
      <w:marLeft w:val="0"/>
      <w:marRight w:val="0"/>
      <w:marTop w:val="0"/>
      <w:marBottom w:val="0"/>
      <w:divBdr>
        <w:top w:val="none" w:sz="0" w:space="0" w:color="auto"/>
        <w:left w:val="none" w:sz="0" w:space="0" w:color="auto"/>
        <w:bottom w:val="none" w:sz="0" w:space="0" w:color="auto"/>
        <w:right w:val="none" w:sz="0" w:space="0" w:color="auto"/>
      </w:divBdr>
    </w:div>
    <w:div w:id="96346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714</Words>
  <Characters>4074</Characters>
  <Application>Microsoft Office Word</Application>
  <DocSecurity>0</DocSecurity>
  <Lines>33</Lines>
  <Paragraphs>9</Paragraphs>
  <ScaleCrop>false</ScaleCrop>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Картузова</dc:creator>
  <cp:keywords/>
  <dc:description/>
  <cp:lastModifiedBy>Елена Картузова</cp:lastModifiedBy>
  <cp:revision>17</cp:revision>
  <dcterms:created xsi:type="dcterms:W3CDTF">2026-03-07T13:01:00Z</dcterms:created>
  <dcterms:modified xsi:type="dcterms:W3CDTF">2026-03-09T19:39:00Z</dcterms:modified>
</cp:coreProperties>
</file>