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5455" w:rsidRDefault="004A5455">
      <w:pPr>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r w:rsidRPr="004A5455">
        <w:rPr>
          <w:rFonts w:ascii="Times New Roman" w:eastAsia="Times New Roman" w:hAnsi="Times New Roman" w:cs="Times New Roman"/>
          <w:b/>
          <w:color w:val="000000"/>
          <w:sz w:val="24"/>
          <w:szCs w:val="24"/>
        </w:rPr>
        <w:t>Позиция Турции на российском рынке в условиях изменения структур международной торговли</w:t>
      </w:r>
    </w:p>
    <w:p w:rsidR="004A5455" w:rsidRDefault="004A5455">
      <w:pPr>
        <w:pBdr>
          <w:top w:val="nil"/>
          <w:left w:val="nil"/>
          <w:bottom w:val="nil"/>
          <w:right w:val="nil"/>
          <w:between w:val="nil"/>
        </w:pBdr>
        <w:shd w:val="clear" w:color="auto" w:fill="FFFFFF"/>
        <w:jc w:val="center"/>
        <w:rPr>
          <w:rFonts w:ascii="Times New Roman" w:eastAsia="Times New Roman" w:hAnsi="Times New Roman" w:cs="Times New Roman"/>
          <w:b/>
          <w:i/>
          <w:color w:val="000000"/>
          <w:sz w:val="24"/>
          <w:szCs w:val="24"/>
        </w:rPr>
      </w:pPr>
      <w:r w:rsidRPr="004A5455">
        <w:rPr>
          <w:rFonts w:ascii="Times New Roman" w:eastAsia="Times New Roman" w:hAnsi="Times New Roman" w:cs="Times New Roman"/>
          <w:b/>
          <w:i/>
          <w:color w:val="000000"/>
          <w:sz w:val="24"/>
          <w:szCs w:val="24"/>
        </w:rPr>
        <w:t>Пчелинцева София Сергеевна</w:t>
      </w:r>
    </w:p>
    <w:p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Московский государственный университет имени М.В.</w:t>
      </w:r>
      <w:r w:rsidR="00454E4A">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rPr>
        <w:t>Ломоносова</w:t>
      </w:r>
    </w:p>
    <w:p w:rsidR="00B62411"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Институт стран Азии и Африки</w:t>
      </w:r>
      <w:r w:rsidR="001119E4">
        <w:rPr>
          <w:rFonts w:ascii="Times New Roman" w:eastAsia="Times New Roman" w:hAnsi="Times New Roman" w:cs="Times New Roman"/>
          <w:i/>
          <w:color w:val="000000"/>
          <w:sz w:val="24"/>
          <w:szCs w:val="24"/>
        </w:rPr>
        <w:t>, Москва, Россия</w:t>
      </w:r>
    </w:p>
    <w:p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Москва, Россия</w:t>
      </w:r>
    </w:p>
    <w:p w:rsidR="00B62411" w:rsidRPr="00237B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4A5455">
        <w:rPr>
          <w:rFonts w:ascii="Times New Roman" w:eastAsia="Times New Roman" w:hAnsi="Times New Roman" w:cs="Times New Roman"/>
          <w:i/>
          <w:color w:val="000000"/>
          <w:sz w:val="24"/>
          <w:szCs w:val="24"/>
          <w:lang w:val="en-US"/>
        </w:rPr>
        <w:t>E</w:t>
      </w:r>
      <w:r w:rsidRPr="00237B11">
        <w:rPr>
          <w:rFonts w:ascii="Times New Roman" w:eastAsia="Times New Roman" w:hAnsi="Times New Roman" w:cs="Times New Roman"/>
          <w:i/>
          <w:color w:val="000000"/>
          <w:sz w:val="24"/>
          <w:szCs w:val="24"/>
        </w:rPr>
        <w:t>–</w:t>
      </w:r>
      <w:r w:rsidRPr="004A5455">
        <w:rPr>
          <w:rFonts w:ascii="Times New Roman" w:eastAsia="Times New Roman" w:hAnsi="Times New Roman" w:cs="Times New Roman"/>
          <w:i/>
          <w:color w:val="000000"/>
          <w:sz w:val="24"/>
          <w:szCs w:val="24"/>
          <w:lang w:val="en-US"/>
        </w:rPr>
        <w:t>ma</w:t>
      </w:r>
      <w:r w:rsidR="004A5455">
        <w:rPr>
          <w:rFonts w:ascii="Times New Roman" w:eastAsia="Times New Roman" w:hAnsi="Times New Roman" w:cs="Times New Roman"/>
          <w:i/>
          <w:color w:val="000000"/>
          <w:sz w:val="24"/>
          <w:szCs w:val="24"/>
          <w:lang w:val="en-US"/>
        </w:rPr>
        <w:t>il</w:t>
      </w:r>
      <w:r w:rsidR="004A5455" w:rsidRPr="00237B11">
        <w:rPr>
          <w:rFonts w:ascii="Times New Roman" w:eastAsia="Times New Roman" w:hAnsi="Times New Roman" w:cs="Times New Roman"/>
          <w:i/>
          <w:color w:val="000000"/>
          <w:sz w:val="24"/>
          <w:szCs w:val="24"/>
        </w:rPr>
        <w:t xml:space="preserve">: </w:t>
      </w:r>
      <w:proofErr w:type="spellStart"/>
      <w:r w:rsidR="004A5455" w:rsidRPr="004A5455">
        <w:rPr>
          <w:rFonts w:ascii="Times New Roman" w:eastAsia="Times New Roman" w:hAnsi="Times New Roman" w:cs="Times New Roman"/>
          <w:i/>
          <w:color w:val="000000"/>
          <w:sz w:val="24"/>
          <w:szCs w:val="24"/>
          <w:u w:val="single"/>
          <w:lang w:val="en-US"/>
        </w:rPr>
        <w:t>sfi</w:t>
      </w:r>
      <w:proofErr w:type="spellEnd"/>
      <w:r w:rsidR="004A5455" w:rsidRPr="00237B11">
        <w:rPr>
          <w:rFonts w:ascii="Times New Roman" w:eastAsia="Times New Roman" w:hAnsi="Times New Roman" w:cs="Times New Roman"/>
          <w:i/>
          <w:color w:val="000000"/>
          <w:sz w:val="24"/>
          <w:szCs w:val="24"/>
          <w:u w:val="single"/>
        </w:rPr>
        <w:t>.</w:t>
      </w:r>
      <w:proofErr w:type="spellStart"/>
      <w:r w:rsidR="004A5455" w:rsidRPr="004A5455">
        <w:rPr>
          <w:rFonts w:ascii="Times New Roman" w:eastAsia="Times New Roman" w:hAnsi="Times New Roman" w:cs="Times New Roman"/>
          <w:i/>
          <w:color w:val="000000"/>
          <w:sz w:val="24"/>
          <w:szCs w:val="24"/>
          <w:u w:val="single"/>
          <w:lang w:val="en-US"/>
        </w:rPr>
        <w:t>pchl</w:t>
      </w:r>
      <w:proofErr w:type="spellEnd"/>
      <w:r w:rsidR="004A5455" w:rsidRPr="00237B11">
        <w:rPr>
          <w:rFonts w:ascii="Times New Roman" w:eastAsia="Times New Roman" w:hAnsi="Times New Roman" w:cs="Times New Roman"/>
          <w:i/>
          <w:color w:val="000000"/>
          <w:sz w:val="24"/>
          <w:szCs w:val="24"/>
          <w:u w:val="single"/>
        </w:rPr>
        <w:t>@</w:t>
      </w:r>
      <w:proofErr w:type="spellStart"/>
      <w:r w:rsidR="004A5455" w:rsidRPr="004A5455">
        <w:rPr>
          <w:rFonts w:ascii="Times New Roman" w:eastAsia="Times New Roman" w:hAnsi="Times New Roman" w:cs="Times New Roman"/>
          <w:i/>
          <w:color w:val="000000"/>
          <w:sz w:val="24"/>
          <w:szCs w:val="24"/>
          <w:u w:val="single"/>
          <w:lang w:val="en-US"/>
        </w:rPr>
        <w:t>gmail</w:t>
      </w:r>
      <w:proofErr w:type="spellEnd"/>
      <w:r w:rsidR="004A5455" w:rsidRPr="00237B11">
        <w:rPr>
          <w:rFonts w:ascii="Times New Roman" w:eastAsia="Times New Roman" w:hAnsi="Times New Roman" w:cs="Times New Roman"/>
          <w:i/>
          <w:color w:val="000000"/>
          <w:sz w:val="24"/>
          <w:szCs w:val="24"/>
          <w:u w:val="single"/>
        </w:rPr>
        <w:t>.</w:t>
      </w:r>
      <w:r w:rsidR="004A5455" w:rsidRPr="004A5455">
        <w:rPr>
          <w:rFonts w:ascii="Times New Roman" w:eastAsia="Times New Roman" w:hAnsi="Times New Roman" w:cs="Times New Roman"/>
          <w:i/>
          <w:color w:val="000000"/>
          <w:sz w:val="24"/>
          <w:szCs w:val="24"/>
          <w:u w:val="single"/>
          <w:lang w:val="en-US"/>
        </w:rPr>
        <w:t>com</w:t>
      </w:r>
    </w:p>
    <w:p w:rsidR="004A5455" w:rsidRPr="00237B11" w:rsidRDefault="004A5455" w:rsidP="00454E4A">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 xml:space="preserve">С 1980-х годов после экономических реформ Тургута Озала внешняя торговля Турции начала постепенную трансформацию посредством перехода к экспортноориентированной модели роста, что обусловило и быстрый рост ее объемов. Особенно это касается сферы экспорта, который на протяжении XX века не мог показать значительные успехи. Так, важным изменением стали сдвиги в географической структуре внешней торговли: среди географических приоритетов оказалась и Россия. Однако нельзя сказать, что на протяжении XXI века Турция занимала сильные позиции в российской импорте: в период с 2016 по 2020 год страна находилась на 12 месте среди всех партнеров, поставляя в основном продукты сельского хозяйства, </w:t>
      </w:r>
      <w:r>
        <w:rPr>
          <w:rFonts w:ascii="Times New Roman" w:eastAsia="Times New Roman" w:hAnsi="Times New Roman" w:cs="Times New Roman"/>
          <w:color w:val="000000"/>
          <w:sz w:val="24"/>
          <w:szCs w:val="24"/>
        </w:rPr>
        <w:t>текстильно</w:t>
      </w:r>
      <w:r w:rsidRPr="004A5455">
        <w:rPr>
          <w:rFonts w:ascii="Times New Roman" w:eastAsia="Times New Roman" w:hAnsi="Times New Roman" w:cs="Times New Roman"/>
          <w:color w:val="000000"/>
          <w:sz w:val="24"/>
          <w:szCs w:val="24"/>
        </w:rPr>
        <w:t xml:space="preserve">-швейную продукцию и некоторые сравнительно простые промышленные изделия.  </w:t>
      </w: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 xml:space="preserve">Тем не менее, в постоянно меняющейся политической, а вслед за ней экономической обстановке, для Турции важно уметь находить пути дальнейшего развития и реализации своего потенциала, в данном случае проводить более успешную политику экспорта. </w:t>
      </w: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 xml:space="preserve">Одним из ключевых изменений в мировой экономике после 2022-го года стала фактическая потеря России в качестве торгового партнера для многих стран. Это изменение отразилось и на внутреннем рынке: наметилось ограниченное предложение многих товаров, поставлявшихся из ныне недружественных стран. Однако подобные изменения открыли внутренний рынок для новых импортеров. </w:t>
      </w: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 xml:space="preserve">Так, изменение геополитической конфигурации создало новые возможности выхода на российский рынок и для Турции. С уходом многих конкурентов появилась возможность проявить себя не только в качестве поставщика сельскохозяйственной продукции, но и предметов техники, электроники и обрабатывающей промышленности. </w:t>
      </w: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 xml:space="preserve">Но нельзя забывать, что возникший дефицит предложения на российском рынке привлек внимание не только Турции, но и для других стран. Так, особо сильным торговым партнером стал Китай, который доминирует во всех потенциальных областях развития экспорта Турции. Нельзя забывать и про страны Евразийского союза, которые также продолжают активно экспортировать свои товары. </w:t>
      </w: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 xml:space="preserve">Статистические данные, предлагаемые Министерством торговли Турции позволяют сделать любопытные выводы об изменениях позиции Турции на импортном рынке РФ по состоянию на 2024 год. Применяя методы “зеркальной статистики”, можно детально охарактеризовать структурно-географические сдвиги в российском импорте и месте Турции в нем.   </w:t>
      </w:r>
    </w:p>
    <w:p w:rsidR="004A5455" w:rsidRP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По итогам анализа можно говорить о наибольшей конкуренции с Китаем, который занял всецело доминирующие позиции в секторе электроники и машиностроения. Дополнительную конкуренцию Турции также создают и традиционные партнеры-соседи, например, Узбекистан и Казахстан. Именно поэтому Турции еще предстоит превзойти столь сильных конкурентов, которые сумели укорениться раньше и в целом успешнее.</w:t>
      </w:r>
    </w:p>
    <w:p w:rsidR="004A5455" w:rsidRDefault="004A5455" w:rsidP="004A5455">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Однако, можно говорить и об относительном успехе Турции, которой, тем не менее, удалось совершить прорыв в поставках в Россию товаров, не относящихся к традиционным для нее секторам. Так, успехом Турции является занятие второй позиции в доле российского импорта, уступая лишь Китаю</w:t>
      </w:r>
      <w:r w:rsidR="003361CE">
        <w:rPr>
          <w:rFonts w:ascii="Times New Roman" w:eastAsia="Times New Roman" w:hAnsi="Times New Roman" w:cs="Times New Roman"/>
          <w:color w:val="000000"/>
          <w:sz w:val="24"/>
          <w:szCs w:val="24"/>
        </w:rPr>
        <w:t>,</w:t>
      </w:r>
      <w:r w:rsidRPr="004A5455">
        <w:rPr>
          <w:rFonts w:ascii="Times New Roman" w:eastAsia="Times New Roman" w:hAnsi="Times New Roman" w:cs="Times New Roman"/>
          <w:color w:val="000000"/>
          <w:sz w:val="24"/>
          <w:szCs w:val="24"/>
        </w:rPr>
        <w:t xml:space="preserve"> в следующих сферах: основная и второстепенная автомобильная промышленность; электрические машины и устройства; машины, механические устройства и инструменты; мыло, органические поверхностно-активные вещества, моющие средства, смазочные материалы; предметы одежды и </w:t>
      </w:r>
      <w:r w:rsidRPr="004A5455">
        <w:rPr>
          <w:rFonts w:ascii="Times New Roman" w:eastAsia="Times New Roman" w:hAnsi="Times New Roman" w:cs="Times New Roman"/>
          <w:color w:val="000000"/>
          <w:sz w:val="24"/>
          <w:szCs w:val="24"/>
        </w:rPr>
        <w:lastRenderedPageBreak/>
        <w:t>аксессуары, трикотажные или вязаные крючком; изделия из железа или стали. В перечисленных секторах экономики показатель доли импорта Китая превосходит аналогичный показатель Турции в диапазоне от 3,2 до 12,1 раза. Таким образом, данные позволяют сделать вывод лишь об относительном успехе Турции на внутреннем рынке России. В связи с этим возникает вопрос о причинах невозможности страны реализовать себя в качестве лидирующего импортера: уступает ли Турция как конкурент Китаю или же она сама не хочет импортировать свой товар более активно.</w:t>
      </w:r>
    </w:p>
    <w:p w:rsidR="004A5455" w:rsidRDefault="004A5455">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p>
    <w:p w:rsidR="00B62411"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Источники и литература</w:t>
      </w:r>
    </w:p>
    <w:p w:rsidR="004A5455" w:rsidRPr="004A5455" w:rsidRDefault="00237B11" w:rsidP="004A545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4A5455" w:rsidRPr="004A5455">
        <w:rPr>
          <w:rFonts w:ascii="Times New Roman" w:eastAsia="Times New Roman" w:hAnsi="Times New Roman" w:cs="Times New Roman"/>
          <w:color w:val="000000"/>
          <w:sz w:val="24"/>
          <w:szCs w:val="24"/>
        </w:rPr>
        <w:t>Министерство торговли Турции (</w:t>
      </w:r>
      <w:proofErr w:type="spellStart"/>
      <w:r w:rsidR="004A5455" w:rsidRPr="004A5455">
        <w:rPr>
          <w:rFonts w:ascii="Times New Roman" w:eastAsia="Times New Roman" w:hAnsi="Times New Roman" w:cs="Times New Roman"/>
          <w:color w:val="000000"/>
          <w:sz w:val="24"/>
          <w:szCs w:val="24"/>
        </w:rPr>
        <w:t>Türkiye</w:t>
      </w:r>
      <w:proofErr w:type="spellEnd"/>
      <w:r w:rsidR="004A5455" w:rsidRPr="004A5455">
        <w:rPr>
          <w:rFonts w:ascii="Times New Roman" w:eastAsia="Times New Roman" w:hAnsi="Times New Roman" w:cs="Times New Roman"/>
          <w:color w:val="000000"/>
          <w:sz w:val="24"/>
          <w:szCs w:val="24"/>
        </w:rPr>
        <w:t xml:space="preserve"> </w:t>
      </w:r>
      <w:proofErr w:type="spellStart"/>
      <w:r w:rsidR="004A5455" w:rsidRPr="004A5455">
        <w:rPr>
          <w:rFonts w:ascii="Times New Roman" w:eastAsia="Times New Roman" w:hAnsi="Times New Roman" w:cs="Times New Roman"/>
          <w:color w:val="000000"/>
          <w:sz w:val="24"/>
          <w:szCs w:val="24"/>
        </w:rPr>
        <w:t>Cumhuriyeti</w:t>
      </w:r>
      <w:proofErr w:type="spellEnd"/>
      <w:r w:rsidR="004A5455" w:rsidRPr="004A5455">
        <w:rPr>
          <w:rFonts w:ascii="Times New Roman" w:eastAsia="Times New Roman" w:hAnsi="Times New Roman" w:cs="Times New Roman"/>
          <w:color w:val="000000"/>
          <w:sz w:val="24"/>
          <w:szCs w:val="24"/>
        </w:rPr>
        <w:t xml:space="preserve"> </w:t>
      </w:r>
      <w:proofErr w:type="spellStart"/>
      <w:r w:rsidR="004A5455" w:rsidRPr="004A5455">
        <w:rPr>
          <w:rFonts w:ascii="Times New Roman" w:eastAsia="Times New Roman" w:hAnsi="Times New Roman" w:cs="Times New Roman"/>
          <w:color w:val="000000"/>
          <w:sz w:val="24"/>
          <w:szCs w:val="24"/>
        </w:rPr>
        <w:t>Ticaret</w:t>
      </w:r>
      <w:proofErr w:type="spellEnd"/>
      <w:r w:rsidR="004A5455" w:rsidRPr="004A5455">
        <w:rPr>
          <w:rFonts w:ascii="Times New Roman" w:eastAsia="Times New Roman" w:hAnsi="Times New Roman" w:cs="Times New Roman"/>
          <w:color w:val="000000"/>
          <w:sz w:val="24"/>
          <w:szCs w:val="24"/>
        </w:rPr>
        <w:t xml:space="preserve"> </w:t>
      </w:r>
      <w:proofErr w:type="spellStart"/>
      <w:r w:rsidR="004A5455" w:rsidRPr="004A5455">
        <w:rPr>
          <w:rFonts w:ascii="Times New Roman" w:eastAsia="Times New Roman" w:hAnsi="Times New Roman" w:cs="Times New Roman"/>
          <w:color w:val="000000"/>
          <w:sz w:val="24"/>
          <w:szCs w:val="24"/>
        </w:rPr>
        <w:t>Bakanlığı</w:t>
      </w:r>
      <w:proofErr w:type="spellEnd"/>
      <w:r w:rsidR="004A5455" w:rsidRPr="004A5455">
        <w:rPr>
          <w:rFonts w:ascii="Times New Roman" w:eastAsia="Times New Roman" w:hAnsi="Times New Roman" w:cs="Times New Roman"/>
          <w:color w:val="000000"/>
          <w:sz w:val="24"/>
          <w:szCs w:val="24"/>
        </w:rPr>
        <w:t xml:space="preserve">): </w:t>
      </w:r>
      <w:hyperlink r:id="rId4" w:history="1">
        <w:r w:rsidR="004A5455" w:rsidRPr="004A5455">
          <w:rPr>
            <w:rStyle w:val="a5"/>
            <w:rFonts w:ascii="Times New Roman" w:eastAsia="Times New Roman" w:hAnsi="Times New Roman" w:cs="Times New Roman"/>
            <w:sz w:val="24"/>
            <w:szCs w:val="24"/>
          </w:rPr>
          <w:t>https://ticaret.gov.tr/data/5eda2b5313b876d9ec2be7d1/Rusya_Sanayi_%C3%9Cr%C3%BCnleri_Matrisi_2025.pdf</w:t>
        </w:r>
      </w:hyperlink>
    </w:p>
    <w:p w:rsidR="004A5455" w:rsidRPr="004A5455" w:rsidRDefault="004A5455" w:rsidP="004A545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2. Министерство торговли Турции (</w:t>
      </w:r>
      <w:proofErr w:type="spellStart"/>
      <w:r w:rsidRPr="004A5455">
        <w:rPr>
          <w:rFonts w:ascii="Times New Roman" w:eastAsia="Times New Roman" w:hAnsi="Times New Roman" w:cs="Times New Roman"/>
          <w:color w:val="000000"/>
          <w:sz w:val="24"/>
          <w:szCs w:val="24"/>
        </w:rPr>
        <w:t>Türkiye</w:t>
      </w:r>
      <w:proofErr w:type="spellEnd"/>
      <w:r w:rsidRPr="004A5455">
        <w:rPr>
          <w:rFonts w:ascii="Times New Roman" w:eastAsia="Times New Roman" w:hAnsi="Times New Roman" w:cs="Times New Roman"/>
          <w:color w:val="000000"/>
          <w:sz w:val="24"/>
          <w:szCs w:val="24"/>
        </w:rPr>
        <w:t xml:space="preserve"> </w:t>
      </w:r>
      <w:proofErr w:type="spellStart"/>
      <w:r w:rsidRPr="004A5455">
        <w:rPr>
          <w:rFonts w:ascii="Times New Roman" w:eastAsia="Times New Roman" w:hAnsi="Times New Roman" w:cs="Times New Roman"/>
          <w:color w:val="000000"/>
          <w:sz w:val="24"/>
          <w:szCs w:val="24"/>
        </w:rPr>
        <w:t>Cumhuriyeti</w:t>
      </w:r>
      <w:proofErr w:type="spellEnd"/>
      <w:r w:rsidRPr="004A5455">
        <w:rPr>
          <w:rFonts w:ascii="Times New Roman" w:eastAsia="Times New Roman" w:hAnsi="Times New Roman" w:cs="Times New Roman"/>
          <w:color w:val="000000"/>
          <w:sz w:val="24"/>
          <w:szCs w:val="24"/>
        </w:rPr>
        <w:t xml:space="preserve"> </w:t>
      </w:r>
      <w:proofErr w:type="spellStart"/>
      <w:r w:rsidRPr="004A5455">
        <w:rPr>
          <w:rFonts w:ascii="Times New Roman" w:eastAsia="Times New Roman" w:hAnsi="Times New Roman" w:cs="Times New Roman"/>
          <w:color w:val="000000"/>
          <w:sz w:val="24"/>
          <w:szCs w:val="24"/>
        </w:rPr>
        <w:t>Ticaret</w:t>
      </w:r>
      <w:proofErr w:type="spellEnd"/>
      <w:r w:rsidRPr="004A5455">
        <w:rPr>
          <w:rFonts w:ascii="Times New Roman" w:eastAsia="Times New Roman" w:hAnsi="Times New Roman" w:cs="Times New Roman"/>
          <w:color w:val="000000"/>
          <w:sz w:val="24"/>
          <w:szCs w:val="24"/>
        </w:rPr>
        <w:t xml:space="preserve"> </w:t>
      </w:r>
      <w:proofErr w:type="spellStart"/>
      <w:r w:rsidRPr="004A5455">
        <w:rPr>
          <w:rFonts w:ascii="Times New Roman" w:eastAsia="Times New Roman" w:hAnsi="Times New Roman" w:cs="Times New Roman"/>
          <w:color w:val="000000"/>
          <w:sz w:val="24"/>
          <w:szCs w:val="24"/>
        </w:rPr>
        <w:t>Bakanlığı</w:t>
      </w:r>
      <w:proofErr w:type="spellEnd"/>
      <w:r w:rsidRPr="004A5455">
        <w:rPr>
          <w:rFonts w:ascii="Times New Roman" w:eastAsia="Times New Roman" w:hAnsi="Times New Roman" w:cs="Times New Roman"/>
          <w:color w:val="000000"/>
          <w:sz w:val="24"/>
          <w:szCs w:val="24"/>
        </w:rPr>
        <w:t xml:space="preserve">): </w:t>
      </w:r>
      <w:hyperlink r:id="rId5" w:history="1">
        <w:r w:rsidRPr="004A5455">
          <w:rPr>
            <w:rStyle w:val="a5"/>
            <w:rFonts w:ascii="Times New Roman" w:eastAsia="Times New Roman" w:hAnsi="Times New Roman" w:cs="Times New Roman"/>
            <w:sz w:val="24"/>
            <w:szCs w:val="24"/>
          </w:rPr>
          <w:t>https://ticaret.gov.tr/data/5ef4643b13b8767a5802184f/Rusya%20%C3%9Clke%20Profili%20-%20Kas%C4%B1m-2025.pdf</w:t>
        </w:r>
      </w:hyperlink>
    </w:p>
    <w:p w:rsidR="004A5455" w:rsidRPr="004A5455" w:rsidRDefault="004A5455" w:rsidP="004A545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4A5455">
        <w:rPr>
          <w:rFonts w:ascii="Times New Roman" w:eastAsia="Times New Roman" w:hAnsi="Times New Roman" w:cs="Times New Roman"/>
          <w:color w:val="000000"/>
          <w:sz w:val="24"/>
          <w:szCs w:val="24"/>
        </w:rPr>
        <w:t>3. Министерство торговли Турции (</w:t>
      </w:r>
      <w:proofErr w:type="spellStart"/>
      <w:r w:rsidRPr="004A5455">
        <w:rPr>
          <w:rFonts w:ascii="Times New Roman" w:eastAsia="Times New Roman" w:hAnsi="Times New Roman" w:cs="Times New Roman"/>
          <w:color w:val="000000"/>
          <w:sz w:val="24"/>
          <w:szCs w:val="24"/>
        </w:rPr>
        <w:t>Türkiye</w:t>
      </w:r>
      <w:proofErr w:type="spellEnd"/>
      <w:r w:rsidRPr="004A5455">
        <w:rPr>
          <w:rFonts w:ascii="Times New Roman" w:eastAsia="Times New Roman" w:hAnsi="Times New Roman" w:cs="Times New Roman"/>
          <w:color w:val="000000"/>
          <w:sz w:val="24"/>
          <w:szCs w:val="24"/>
        </w:rPr>
        <w:t xml:space="preserve"> </w:t>
      </w:r>
      <w:proofErr w:type="spellStart"/>
      <w:r w:rsidRPr="004A5455">
        <w:rPr>
          <w:rFonts w:ascii="Times New Roman" w:eastAsia="Times New Roman" w:hAnsi="Times New Roman" w:cs="Times New Roman"/>
          <w:color w:val="000000"/>
          <w:sz w:val="24"/>
          <w:szCs w:val="24"/>
        </w:rPr>
        <w:t>Cumhuriyeti</w:t>
      </w:r>
      <w:proofErr w:type="spellEnd"/>
      <w:r w:rsidRPr="004A5455">
        <w:rPr>
          <w:rFonts w:ascii="Times New Roman" w:eastAsia="Times New Roman" w:hAnsi="Times New Roman" w:cs="Times New Roman"/>
          <w:color w:val="000000"/>
          <w:sz w:val="24"/>
          <w:szCs w:val="24"/>
        </w:rPr>
        <w:t xml:space="preserve"> </w:t>
      </w:r>
      <w:proofErr w:type="spellStart"/>
      <w:r w:rsidRPr="004A5455">
        <w:rPr>
          <w:rFonts w:ascii="Times New Roman" w:eastAsia="Times New Roman" w:hAnsi="Times New Roman" w:cs="Times New Roman"/>
          <w:color w:val="000000"/>
          <w:sz w:val="24"/>
          <w:szCs w:val="24"/>
        </w:rPr>
        <w:t>Ticaret</w:t>
      </w:r>
      <w:proofErr w:type="spellEnd"/>
      <w:r w:rsidRPr="004A5455">
        <w:rPr>
          <w:rFonts w:ascii="Times New Roman" w:eastAsia="Times New Roman" w:hAnsi="Times New Roman" w:cs="Times New Roman"/>
          <w:color w:val="000000"/>
          <w:sz w:val="24"/>
          <w:szCs w:val="24"/>
        </w:rPr>
        <w:t xml:space="preserve"> </w:t>
      </w:r>
      <w:proofErr w:type="spellStart"/>
      <w:r w:rsidRPr="004A5455">
        <w:rPr>
          <w:rFonts w:ascii="Times New Roman" w:eastAsia="Times New Roman" w:hAnsi="Times New Roman" w:cs="Times New Roman"/>
          <w:color w:val="000000"/>
          <w:sz w:val="24"/>
          <w:szCs w:val="24"/>
        </w:rPr>
        <w:t>Bakanlığı</w:t>
      </w:r>
      <w:proofErr w:type="spellEnd"/>
      <w:r w:rsidRPr="004A5455">
        <w:rPr>
          <w:rFonts w:ascii="Times New Roman" w:eastAsia="Times New Roman" w:hAnsi="Times New Roman" w:cs="Times New Roman"/>
          <w:color w:val="000000"/>
          <w:sz w:val="24"/>
          <w:szCs w:val="24"/>
        </w:rPr>
        <w:t xml:space="preserve">): </w:t>
      </w:r>
      <w:hyperlink r:id="rId6" w:history="1">
        <w:r w:rsidRPr="004A5455">
          <w:rPr>
            <w:rStyle w:val="a5"/>
            <w:rFonts w:ascii="Times New Roman" w:eastAsia="Times New Roman" w:hAnsi="Times New Roman" w:cs="Times New Roman"/>
            <w:sz w:val="24"/>
            <w:szCs w:val="24"/>
          </w:rPr>
          <w:t>https://ticaret.gov.tr/data/5f6207d113b8768acc56d2a9/Rusya%20Pazar%20Bilgileri%20-%202025.pdf</w:t>
        </w:r>
      </w:hyperlink>
      <w:r w:rsidRPr="004A5455">
        <w:rPr>
          <w:rFonts w:ascii="Times New Roman" w:eastAsia="Times New Roman" w:hAnsi="Times New Roman" w:cs="Times New Roman"/>
          <w:color w:val="000000"/>
          <w:sz w:val="24"/>
          <w:szCs w:val="24"/>
        </w:rPr>
        <w:t> </w:t>
      </w:r>
    </w:p>
    <w:p w:rsidR="004A5455" w:rsidRPr="00FF0481" w:rsidRDefault="004A5455" w:rsidP="004A545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r w:rsidRPr="00FF0481">
        <w:rPr>
          <w:rFonts w:ascii="Times New Roman" w:eastAsia="Times New Roman" w:hAnsi="Times New Roman" w:cs="Times New Roman"/>
          <w:color w:val="000000"/>
          <w:sz w:val="24"/>
          <w:szCs w:val="24"/>
          <w:lang w:val="en-US"/>
        </w:rPr>
        <w:t xml:space="preserve">4. </w:t>
      </w:r>
      <w:proofErr w:type="spellStart"/>
      <w:r w:rsidR="00FF0481" w:rsidRPr="00FF0481">
        <w:rPr>
          <w:rFonts w:ascii="Times New Roman" w:eastAsia="Times New Roman" w:hAnsi="Times New Roman" w:cs="Times New Roman"/>
          <w:color w:val="000000"/>
          <w:sz w:val="24"/>
          <w:szCs w:val="24"/>
          <w:lang w:val="en-US"/>
        </w:rPr>
        <w:t>Ilkin</w:t>
      </w:r>
      <w:proofErr w:type="spellEnd"/>
      <w:r w:rsidR="00FF0481" w:rsidRPr="00FF0481">
        <w:rPr>
          <w:rFonts w:ascii="Times New Roman" w:eastAsia="Times New Roman" w:hAnsi="Times New Roman" w:cs="Times New Roman"/>
          <w:color w:val="000000"/>
          <w:sz w:val="24"/>
          <w:szCs w:val="24"/>
          <w:lang w:val="en-US"/>
        </w:rPr>
        <w:t xml:space="preserve"> S. Exporters: </w:t>
      </w:r>
      <w:proofErr w:type="spellStart"/>
      <w:r w:rsidR="00FF0481" w:rsidRPr="00FF0481">
        <w:rPr>
          <w:rFonts w:ascii="Times New Roman" w:eastAsia="Times New Roman" w:hAnsi="Times New Roman" w:cs="Times New Roman"/>
          <w:color w:val="000000"/>
          <w:sz w:val="24"/>
          <w:szCs w:val="24"/>
          <w:lang w:val="en-US"/>
        </w:rPr>
        <w:t>Favoured</w:t>
      </w:r>
      <w:proofErr w:type="spellEnd"/>
      <w:r w:rsidR="00FF0481" w:rsidRPr="00FF0481">
        <w:rPr>
          <w:rFonts w:ascii="Times New Roman" w:eastAsia="Times New Roman" w:hAnsi="Times New Roman" w:cs="Times New Roman"/>
          <w:color w:val="000000"/>
          <w:sz w:val="24"/>
          <w:szCs w:val="24"/>
          <w:lang w:val="en-US"/>
        </w:rPr>
        <w:t xml:space="preserve"> Dependency // Strong State and Economic Interest Groups. The Post-1980 Turkish Experience. – Walter de Gruyter – Berlin-New York, 1991.</w:t>
      </w:r>
    </w:p>
    <w:p w:rsidR="0093713A" w:rsidRPr="0028297F" w:rsidRDefault="004A5455">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en-US"/>
        </w:rPr>
      </w:pPr>
      <w:r w:rsidRPr="004A5455">
        <w:rPr>
          <w:rFonts w:ascii="Times New Roman" w:eastAsia="Times New Roman" w:hAnsi="Times New Roman" w:cs="Times New Roman"/>
          <w:color w:val="000000"/>
          <w:sz w:val="24"/>
          <w:szCs w:val="24"/>
          <w:lang w:val="en-US"/>
        </w:rPr>
        <w:t xml:space="preserve">5. Statista.com: </w:t>
      </w:r>
      <w:hyperlink r:id="rId7" w:history="1">
        <w:r w:rsidRPr="004A5455">
          <w:rPr>
            <w:rStyle w:val="a5"/>
            <w:rFonts w:ascii="Times New Roman" w:eastAsia="Times New Roman" w:hAnsi="Times New Roman" w:cs="Times New Roman"/>
            <w:sz w:val="24"/>
            <w:szCs w:val="24"/>
            <w:lang w:val="en-US"/>
          </w:rPr>
          <w:t>https://www.statista.com/statistics/1407469/turkey-main-export-commodities-to-the-eu/</w:t>
        </w:r>
      </w:hyperlink>
    </w:p>
    <w:sectPr w:rsidR="0093713A" w:rsidRPr="0028297F" w:rsidSect="00454E4A">
      <w:pgSz w:w="11906" w:h="16838"/>
      <w:pgMar w:top="1134" w:right="850" w:bottom="1134" w:left="1701"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55"/>
    <w:rsid w:val="000007D1"/>
    <w:rsid w:val="000967D7"/>
    <w:rsid w:val="001119E4"/>
    <w:rsid w:val="00184938"/>
    <w:rsid w:val="00237B11"/>
    <w:rsid w:val="00275BB0"/>
    <w:rsid w:val="0028297F"/>
    <w:rsid w:val="002A6A2D"/>
    <w:rsid w:val="002C13F5"/>
    <w:rsid w:val="003361CE"/>
    <w:rsid w:val="003567BA"/>
    <w:rsid w:val="00381C13"/>
    <w:rsid w:val="00454E4A"/>
    <w:rsid w:val="004A5455"/>
    <w:rsid w:val="004F14BC"/>
    <w:rsid w:val="00521953"/>
    <w:rsid w:val="005E386D"/>
    <w:rsid w:val="006B339E"/>
    <w:rsid w:val="00726495"/>
    <w:rsid w:val="007B4530"/>
    <w:rsid w:val="008545D3"/>
    <w:rsid w:val="00884E49"/>
    <w:rsid w:val="0093713A"/>
    <w:rsid w:val="00A01AC8"/>
    <w:rsid w:val="00B62411"/>
    <w:rsid w:val="00B902C7"/>
    <w:rsid w:val="00CA0150"/>
    <w:rsid w:val="00DB4176"/>
    <w:rsid w:val="00DE6E76"/>
    <w:rsid w:val="00E47437"/>
    <w:rsid w:val="00FF0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28C32CF"/>
  <w15:docId w15:val="{AEBF8994-2E82-A54F-AC4A-AF7BB24E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styleId="a6">
    <w:name w:val="Unresolved Mention"/>
    <w:basedOn w:val="a0"/>
    <w:uiPriority w:val="99"/>
    <w:semiHidden/>
    <w:unhideWhenUsed/>
    <w:rsid w:val="0093713A"/>
    <w:rPr>
      <w:color w:val="605E5C"/>
      <w:shd w:val="clear" w:color="auto" w:fill="E1DFDD"/>
    </w:rPr>
  </w:style>
  <w:style w:type="paragraph" w:styleId="a7">
    <w:name w:val="List Paragraph"/>
    <w:basedOn w:val="a"/>
    <w:uiPriority w:val="34"/>
    <w:qFormat/>
    <w:rsid w:val="0093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58199">
      <w:bodyDiv w:val="1"/>
      <w:marLeft w:val="0"/>
      <w:marRight w:val="0"/>
      <w:marTop w:val="0"/>
      <w:marBottom w:val="0"/>
      <w:divBdr>
        <w:top w:val="none" w:sz="0" w:space="0" w:color="auto"/>
        <w:left w:val="none" w:sz="0" w:space="0" w:color="auto"/>
        <w:bottom w:val="none" w:sz="0" w:space="0" w:color="auto"/>
        <w:right w:val="none" w:sz="0" w:space="0" w:color="auto"/>
      </w:divBdr>
    </w:div>
    <w:div w:id="729772802">
      <w:bodyDiv w:val="1"/>
      <w:marLeft w:val="0"/>
      <w:marRight w:val="0"/>
      <w:marTop w:val="0"/>
      <w:marBottom w:val="0"/>
      <w:divBdr>
        <w:top w:val="none" w:sz="0" w:space="0" w:color="auto"/>
        <w:left w:val="none" w:sz="0" w:space="0" w:color="auto"/>
        <w:bottom w:val="none" w:sz="0" w:space="0" w:color="auto"/>
        <w:right w:val="none" w:sz="0" w:space="0" w:color="auto"/>
      </w:divBdr>
    </w:div>
    <w:div w:id="1500776384">
      <w:bodyDiv w:val="1"/>
      <w:marLeft w:val="0"/>
      <w:marRight w:val="0"/>
      <w:marTop w:val="0"/>
      <w:marBottom w:val="0"/>
      <w:divBdr>
        <w:top w:val="none" w:sz="0" w:space="0" w:color="auto"/>
        <w:left w:val="none" w:sz="0" w:space="0" w:color="auto"/>
        <w:bottom w:val="none" w:sz="0" w:space="0" w:color="auto"/>
        <w:right w:val="none" w:sz="0" w:space="0" w:color="auto"/>
      </w:divBdr>
    </w:div>
    <w:div w:id="1600675833">
      <w:bodyDiv w:val="1"/>
      <w:marLeft w:val="0"/>
      <w:marRight w:val="0"/>
      <w:marTop w:val="0"/>
      <w:marBottom w:val="0"/>
      <w:divBdr>
        <w:top w:val="none" w:sz="0" w:space="0" w:color="auto"/>
        <w:left w:val="none" w:sz="0" w:space="0" w:color="auto"/>
        <w:bottom w:val="none" w:sz="0" w:space="0" w:color="auto"/>
        <w:right w:val="none" w:sz="0" w:space="0" w:color="auto"/>
      </w:divBdr>
    </w:div>
    <w:div w:id="2015062061">
      <w:bodyDiv w:val="1"/>
      <w:marLeft w:val="0"/>
      <w:marRight w:val="0"/>
      <w:marTop w:val="0"/>
      <w:marBottom w:val="0"/>
      <w:divBdr>
        <w:top w:val="none" w:sz="0" w:space="0" w:color="auto"/>
        <w:left w:val="none" w:sz="0" w:space="0" w:color="auto"/>
        <w:bottom w:val="none" w:sz="0" w:space="0" w:color="auto"/>
        <w:right w:val="none" w:sz="0" w:space="0" w:color="auto"/>
      </w:divBdr>
    </w:div>
    <w:div w:id="205346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tista.com/statistics/1407469/turkey-main-export-commodities-to-the-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aret.gov.tr/data/5f6207d113b8768acc56d2a9/Rusya%20Pazar%20Bilgileri%20-%202025.pdf" TargetMode="External"/><Relationship Id="rId5" Type="http://schemas.openxmlformats.org/officeDocument/2006/relationships/hyperlink" Target="https://ticaret.gov.tr/data/5ef4643b13b8767a5802184f/Rusya%20%C3%9Clke%20Profili%20-%20Kas%C4%B1m-2025.pdf" TargetMode="External"/><Relationship Id="rId4" Type="http://schemas.openxmlformats.org/officeDocument/2006/relationships/hyperlink" Target="https://ticaret.gov.tr/data/5eda2b5313b876d9ec2be7d1/Rusya_Sanayi_%C3%9Cr%C3%BCnleri_Matrisi_2025.pdf"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fiapchelintseva/Downloads/&#1064;&#1072;&#1073;&#1083;&#1086;&#1085;_&#1042;&#1086;&#1089;&#1090;&#1086;&#1082;&#1086;&#1074;&#1077;&#1076;&#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Шаблон_Востоковедение.dotx</Template>
  <TotalTime>10</TotalTime>
  <Pages>2</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Pchelintseva</dc:creator>
  <cp:lastModifiedBy>Sofia Pchelintseva</cp:lastModifiedBy>
  <cp:revision>6</cp:revision>
  <dcterms:created xsi:type="dcterms:W3CDTF">2026-03-02T21:02:00Z</dcterms:created>
  <dcterms:modified xsi:type="dcterms:W3CDTF">2026-03-05T16:04:00Z</dcterms:modified>
</cp:coreProperties>
</file>