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1A2F" w14:textId="738E3F7E" w:rsidR="0045464A" w:rsidRPr="00A13FA4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</w:pPr>
      <w:r w:rsidRPr="00A13FA4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  <w:t>Электромобильность в арабских странах:</w:t>
      </w:r>
      <w:r w:rsidR="006C38DD" w:rsidRPr="00A13FA4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  <w:t xml:space="preserve"> тенденци</w:t>
      </w:r>
      <w:r w:rsidR="00294B65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  <w:t xml:space="preserve">и </w:t>
      </w:r>
      <w:r w:rsidR="006C38DD" w:rsidRPr="00A13FA4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  <w:t>развития</w:t>
      </w:r>
    </w:p>
    <w:p w14:paraId="7AAA47ED" w14:textId="77777777" w:rsidR="0045464A" w:rsidRPr="0045464A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kern w:val="0"/>
          <w:lang w:eastAsia="ru-RU"/>
          <w14:ligatures w14:val="none"/>
        </w:rPr>
        <w:t>Вершута Алёна Дмитриевна</w:t>
      </w:r>
    </w:p>
    <w:p w14:paraId="71963A8B" w14:textId="77777777" w:rsidR="0045464A" w:rsidRPr="0045464A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</w:pPr>
      <w:r w:rsidRPr="0045464A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Студентка </w:t>
      </w:r>
      <w:r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2</w:t>
      </w:r>
      <w:r w:rsidRPr="0045464A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 курса бакалавриата</w:t>
      </w:r>
    </w:p>
    <w:p w14:paraId="2B50D29F" w14:textId="3F190F9B" w:rsidR="0045464A" w:rsidRPr="0045464A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</w:pP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Московский </w:t>
      </w:r>
      <w:r w:rsidR="001724FF"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г</w:t>
      </w: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осударственный </w:t>
      </w:r>
      <w:r w:rsidR="001724FF"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у</w:t>
      </w: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ниверситет им</w:t>
      </w:r>
      <w:r w:rsidR="001724FF"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е</w:t>
      </w:r>
      <w:r w:rsid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н</w:t>
      </w:r>
      <w:r w:rsidR="001724FF"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и</w:t>
      </w: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 </w:t>
      </w:r>
      <w:r w:rsidRPr="0045464A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М. В. Ломоносова</w:t>
      </w:r>
      <w:r w:rsidR="005B4A3E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,</w:t>
      </w:r>
    </w:p>
    <w:p w14:paraId="56ACD56F" w14:textId="325E6C57" w:rsidR="0045464A" w:rsidRPr="0045464A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</w:pP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Институт </w:t>
      </w:r>
      <w:r w:rsidR="001724FF"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с</w:t>
      </w:r>
      <w:r w:rsidRPr="001724FF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тран Азии и Африки</w:t>
      </w:r>
      <w:r w:rsidRPr="0045464A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, Москва, Россия</w:t>
      </w:r>
    </w:p>
    <w:p w14:paraId="3F84DB97" w14:textId="6B6F213E" w:rsidR="0045464A" w:rsidRDefault="0045464A" w:rsidP="005F1BFB">
      <w:pPr>
        <w:spacing w:before="240" w:after="240" w:line="240" w:lineRule="auto"/>
        <w:jc w:val="center"/>
        <w:rPr>
          <w:rFonts w:asciiTheme="majorBidi" w:eastAsia="Times New Roman" w:hAnsiTheme="majorBidi" w:cstheme="majorBidi"/>
          <w:i/>
          <w:iCs/>
          <w:color w:val="EE0000"/>
          <w:kern w:val="0"/>
          <w:lang w:eastAsia="ru-RU"/>
          <w14:ligatures w14:val="none"/>
        </w:rPr>
      </w:pPr>
      <w:r w:rsidRPr="0045464A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>E-mail: </w:t>
      </w:r>
      <w:hyperlink r:id="rId6" w:history="1">
        <w:r w:rsidR="004B08B3" w:rsidRPr="000F3231">
          <w:rPr>
            <w:rStyle w:val="af"/>
            <w:rFonts w:asciiTheme="majorBidi" w:eastAsia="Times New Roman" w:hAnsiTheme="majorBidi" w:cstheme="majorBidi"/>
            <w:i/>
            <w:iCs/>
            <w:kern w:val="0"/>
            <w:lang w:val="en-US" w:eastAsia="ru-RU"/>
            <w14:ligatures w14:val="none"/>
          </w:rPr>
          <w:t>alena</w:t>
        </w:r>
        <w:r w:rsidR="004B08B3" w:rsidRPr="000F3231">
          <w:rPr>
            <w:rStyle w:val="af"/>
            <w:rFonts w:asciiTheme="majorBidi" w:eastAsia="Times New Roman" w:hAnsiTheme="majorBidi" w:cstheme="majorBidi"/>
            <w:i/>
            <w:iCs/>
            <w:kern w:val="0"/>
            <w:lang w:eastAsia="ru-RU"/>
            <w14:ligatures w14:val="none"/>
          </w:rPr>
          <w:t>.</w:t>
        </w:r>
        <w:r w:rsidR="004B08B3" w:rsidRPr="000F3231">
          <w:rPr>
            <w:rStyle w:val="af"/>
            <w:rFonts w:asciiTheme="majorBidi" w:eastAsia="Times New Roman" w:hAnsiTheme="majorBidi" w:cstheme="majorBidi"/>
            <w:i/>
            <w:iCs/>
            <w:kern w:val="0"/>
            <w:lang w:val="en-US" w:eastAsia="ru-RU"/>
            <w14:ligatures w14:val="none"/>
          </w:rPr>
          <w:t>vershuta</w:t>
        </w:r>
        <w:r w:rsidR="004B08B3" w:rsidRPr="000F3231">
          <w:rPr>
            <w:rStyle w:val="af"/>
            <w:rFonts w:asciiTheme="majorBidi" w:eastAsia="Times New Roman" w:hAnsiTheme="majorBidi" w:cstheme="majorBidi"/>
            <w:i/>
            <w:iCs/>
            <w:kern w:val="0"/>
            <w:lang w:eastAsia="ru-RU"/>
            <w14:ligatures w14:val="none"/>
          </w:rPr>
          <w:t>@mail.ru</w:t>
        </w:r>
      </w:hyperlink>
      <w:r w:rsidR="004B08B3">
        <w:rPr>
          <w:rFonts w:asciiTheme="majorBidi" w:eastAsia="Times New Roman" w:hAnsiTheme="majorBidi" w:cstheme="majorBidi"/>
          <w:i/>
          <w:iCs/>
          <w:color w:val="000000" w:themeColor="text1"/>
          <w:kern w:val="0"/>
          <w:lang w:eastAsia="ru-RU"/>
          <w14:ligatures w14:val="none"/>
        </w:rPr>
        <w:t xml:space="preserve">  </w:t>
      </w:r>
    </w:p>
    <w:p w14:paraId="66E908A5" w14:textId="1144E6EA" w:rsidR="0045464A" w:rsidRPr="0045464A" w:rsidRDefault="008A7982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В настоящее время т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ранспортный сектор во всем мире переживает фундаментальны</w:t>
      </w:r>
      <w:r w:rsidR="00820E55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е изменения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. В </w:t>
      </w:r>
      <w:r w:rsidR="0045464A" w:rsidRP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ближайшие десятилетия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доминирующ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ей тенденцией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A13FA4" w:rsidRP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станет</w:t>
      </w:r>
      <w:r w:rsidR="00A13FA4">
        <w:rPr>
          <w:rFonts w:asciiTheme="majorBidi" w:eastAsia="Times New Roman" w:hAnsiTheme="majorBidi" w:cstheme="majorBidi"/>
          <w:color w:val="EE0000"/>
          <w:kern w:val="0"/>
          <w:lang w:eastAsia="ru-RU"/>
          <w14:ligatures w14:val="none"/>
        </w:rPr>
        <w:t xml:space="preserve">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электрическая мобильность — ускоряющийся рост количества электромобилей, развитие электротранспорта и создание сопутствующей инфраструктуры 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CA2B1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2,3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].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Для арабских стран, где транспорт ответственен за значительную долю выбросов CO₂, а урбанизация идет </w:t>
      </w:r>
      <w:r w:rsidR="008D2F2F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крайне высокими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темпами, переход к электромобильности открывает не только экологические, но и глубокие социально-экономические возможности. Несмотря на значительное внимание, уделяемое общим тенденциям развития электромобилей в мире, вопрос о специфике, стратегиях и перспективах электротранспорта в арабских странах остается недостаточно изученным. Подавляющая часть авторитетных источников по данной теме, включая доклады Экономической и социальной комиссии для Западной Азии (ЭСКЗА) ООН, а также исследования GIZ и Arval Mobility Observatory, </w:t>
      </w:r>
      <w:r w:rsidR="00CB59EF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представлены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на </w:t>
      </w:r>
      <w:r w:rsid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различных иностранных языках (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английск</w:t>
      </w:r>
      <w:r w:rsid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ий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, французск</w:t>
      </w:r>
      <w:r w:rsid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ий)</w:t>
      </w:r>
      <w:r w:rsidR="00E317FF" w:rsidRPr="00A13FA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  <w:r w:rsidR="00E317FF" w:rsidRPr="004B08B3">
        <w:rPr>
          <w:rFonts w:asciiTheme="majorBidi" w:eastAsia="Times New Roman" w:hAnsiTheme="majorBidi" w:cstheme="majorBidi"/>
          <w:color w:val="EE0000"/>
          <w:kern w:val="0"/>
          <w:lang w:eastAsia="ru-RU"/>
          <w14:ligatures w14:val="none"/>
        </w:rPr>
        <w:t xml:space="preserve"> </w:t>
      </w:r>
      <w:r w:rsidR="00E317FF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Арабские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страны </w:t>
      </w:r>
      <w:r w:rsidR="00F1306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ввиду экономических и социальных возможностей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находятся на разных стартовых позициях в процессе электромобильной трансформации. Наиболее активно процессы идут в странах Персидского залива (</w:t>
      </w:r>
      <w:r w:rsidR="00F1306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например,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ОАЭ, Саудовская Аравия, Катар), а также в Марокко и Иордании</w:t>
      </w:r>
      <w:r w:rsidR="0045464A" w:rsidRPr="00B3724B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.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Марокко, в частности, позиционирует себя как «значимый хаб для стратегического влияния и инноваций» в электромобильной революции на африканском континенте, стремясь укрепить свои позиции в глобальных производственных цепочках и стать лидером устойчивого промышленного </w:t>
      </w:r>
      <w:r w:rsidR="00D47BF3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развития</w:t>
      </w:r>
      <w:r w:rsidR="00D47BF3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[</w:t>
      </w:r>
      <w:r w:rsidR="00CA2B1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1</w:t>
      </w:r>
      <w:r w:rsidR="00CA2B13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]</w:t>
      </w:r>
      <w:r w:rsid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</w:p>
    <w:p w14:paraId="14FD8526" w14:textId="5F1D147F" w:rsidR="004D5130" w:rsidRDefault="0045464A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Анализ 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представленных данных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позволяет 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говорить о том, что арабские страны </w:t>
      </w:r>
      <w:r w:rsidR="008D2C6C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в первую очередь </w:t>
      </w:r>
      <w:r w:rsidR="00F1306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дела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ют упор</w:t>
      </w:r>
      <w:r w:rsidR="00F1306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на развити</w:t>
      </w:r>
      <w:r w:rsidR="00F1306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и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электрического общественного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транспорта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(эле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ктробусы</w:t>
      </w:r>
      <w:r w:rsidR="002471C7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,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метро</w:t>
      </w:r>
      <w:r w:rsidR="006C38D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)</w:t>
      </w:r>
      <w:r w:rsidR="008D2C6C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в связке с микромобильностью (электросамокаты, велосипеды). Данный подход нацелен на снижение загруженности мегаполисов и повышение транспортной доступности для различных слоев населения. Примером может служить запуск электробусов в Катаре в преддверии ЧМ-2022: к апрелю 2022 года в страну поступила финальная партия машин, которые сегодня работают на более чем 50 маршрутах общественного транспорта по всей стране [</w:t>
      </w:r>
      <w:r w:rsidR="00CA2B1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2,3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]. </w:t>
      </w:r>
    </w:p>
    <w:p w14:paraId="5CE9C929" w14:textId="4B7FDDFA" w:rsidR="0045464A" w:rsidRPr="00F63DE4" w:rsidRDefault="00127CC9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EE0000"/>
          <w:kern w:val="0"/>
          <w:lang w:eastAsia="ru-RU"/>
          <w14:ligatures w14:val="none"/>
        </w:rPr>
      </w:pPr>
      <w:r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К</w:t>
      </w:r>
      <w:r w:rsidR="002C0641" w:rsidRPr="002C064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лючевым аспектом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развития электромобильности </w:t>
      </w:r>
      <w:r w:rsidR="002C0641" w:rsidRPr="002C064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является интеграция арабских государств в глобальные производственные цепочки.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Безусловным лидером здесь выступает </w:t>
      </w:r>
      <w:r w:rsidR="0045464A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Марокко</w:t>
      </w:r>
      <w:r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  <w:r>
        <w:rPr>
          <w:rFonts w:asciiTheme="majorBidi" w:eastAsia="Times New Roman" w:hAnsiTheme="majorBidi" w:cstheme="majorBidi"/>
          <w:color w:val="EE0000"/>
          <w:kern w:val="0"/>
          <w:lang w:eastAsia="ru-RU"/>
          <w14:ligatures w14:val="none"/>
        </w:rPr>
        <w:t xml:space="preserve">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Благодаря заводам Renault в Касабланке и Танжере, предприятию Stellantis в Кенитре, а также обширной сети из около 250 поставщиков первого и второго уровней, Марокко стало ведущим центром автомобилестроения в Африке 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CA2B1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1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].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С годовой производственной мощностью около 700 000 автомобилей страна планирует нарастить ее до 1 </w:t>
      </w:r>
      <w:r w:rsidR="0045464A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млн</w:t>
      </w:r>
      <w:r w:rsidR="00D05890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  <w:r w:rsidR="0045464A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к 2025 году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. </w:t>
      </w:r>
      <w:r w:rsidR="00F63DE4" w:rsidRPr="00F63DE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В течение 2023 года наблюдалась трансформация экспортного ландшафта Марокко, где автомобильная индустрия, впервые в своей истории, превзошла по значимости фосфатную отрасль, утвердившись в качестве ведущего источника </w:t>
      </w:r>
      <w:r w:rsidR="00F63DE4" w:rsidRPr="00F63DE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lastRenderedPageBreak/>
        <w:t>экспортных доходов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: </w:t>
      </w:r>
      <w:r w:rsidR="00F63DE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вывоз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автомобилей достиг примерно 14 </w:t>
      </w:r>
      <w:r w:rsidR="0045464A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млрд</w:t>
      </w:r>
      <w:r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  <w:r w:rsidR="0045464A" w:rsidRPr="00127CC9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долларов, увеличившись на 27,4% по сравнению с 2022 годом 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CA2B1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1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].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Ожидается, что к 2030 году доля электромобилей в марокканском экспорте достигнет 60% 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4C3056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1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]. </w:t>
      </w:r>
      <w:r w:rsidR="0045464A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Согласно данным Baromètre Arval Mobility Observatory, 57% марокканских компаний планируют расширение автопарка в ближайшие три года, что значительно превышает мировой показатель в 29%, хотя уровень внедрения альтернативных технологий пока составляет лишь 15% 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4C3056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4</w:t>
      </w:r>
      <w:r w:rsidR="0045464A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].</w:t>
      </w:r>
      <w:r w:rsidR="00F63DE4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F63DE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Кроме того, в данном контексте стоит </w:t>
      </w:r>
      <w:r w:rsidR="00097097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сказать</w:t>
      </w:r>
      <w:r w:rsidR="00F63DE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, что </w:t>
      </w:r>
      <w:r w:rsidR="00F63DE4"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Марокко, взявшее курс на увеличение доли возобновляемых источников энергии в электросетях до 52% к 2030 году и до 80% к 2050 году, уже сегодня закладывает основу для «зеленой» зарядки будущих электромобилей</w:t>
      </w:r>
      <w:r w:rsidR="004C3056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4C3056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4C3056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1</w:t>
      </w:r>
      <w:r w:rsidR="004C3056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].</w:t>
      </w:r>
    </w:p>
    <w:p w14:paraId="0FD7193E" w14:textId="218EB389" w:rsidR="0045464A" w:rsidRPr="0045464A" w:rsidRDefault="00CD307A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Также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важно отметить, что значимость развития электро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мобильного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транспорта закреплена и на государственном уровне</w:t>
      </w:r>
      <w:r w:rsidR="0000665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, в то</w:t>
      </w:r>
      <w:r w:rsidR="00567785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м</w:t>
      </w:r>
      <w:r w:rsidR="0000665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числе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в стратегических документах стран Персидского залива и Северной Африки. ОАЭ в рамках стратегии «</w:t>
      </w:r>
      <w:r w:rsidR="00A166F2">
        <w:rPr>
          <w:rFonts w:asciiTheme="majorBidi" w:eastAsia="Times New Roman" w:hAnsiTheme="majorBidi" w:cstheme="majorBidi"/>
          <w:color w:val="000000" w:themeColor="text1"/>
          <w:kern w:val="0"/>
          <w:lang w:val="en-US" w:eastAsia="ru-RU"/>
          <w14:ligatures w14:val="none"/>
        </w:rPr>
        <w:t>Net</w:t>
      </w:r>
      <w:r w:rsidR="00A166F2" w:rsidRPr="00A166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A166F2">
        <w:rPr>
          <w:rFonts w:asciiTheme="majorBidi" w:eastAsia="Times New Roman" w:hAnsiTheme="majorBidi" w:cstheme="majorBidi"/>
          <w:color w:val="000000" w:themeColor="text1"/>
          <w:kern w:val="0"/>
          <w:lang w:val="en-US" w:eastAsia="ru-RU"/>
          <w14:ligatures w14:val="none"/>
        </w:rPr>
        <w:t>Zero</w:t>
      </w:r>
      <w:r w:rsidR="00A166F2" w:rsidRPr="00A166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A166F2">
        <w:rPr>
          <w:rFonts w:asciiTheme="majorBidi" w:eastAsia="Times New Roman" w:hAnsiTheme="majorBidi" w:cstheme="majorBidi"/>
          <w:color w:val="000000" w:themeColor="text1"/>
          <w:kern w:val="0"/>
          <w:lang w:val="en-US" w:eastAsia="ru-RU"/>
          <w14:ligatures w14:val="none"/>
        </w:rPr>
        <w:t>by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2050» ставят цель довести долю электромобилей до 30% к 2030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году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и до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50% автопарка к 2050</w:t>
      </w:r>
      <w:r w:rsidR="00D57CE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году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 Саудовская Аравия в рамках «</w:t>
      </w:r>
      <w:r w:rsidR="00A166F2">
        <w:rPr>
          <w:rFonts w:asciiTheme="majorBidi" w:eastAsia="Times New Roman" w:hAnsiTheme="majorBidi" w:cstheme="majorBidi"/>
          <w:color w:val="000000" w:themeColor="text1"/>
          <w:kern w:val="0"/>
          <w:lang w:val="en-US" w:eastAsia="ru-RU"/>
          <w14:ligatures w14:val="none"/>
        </w:rPr>
        <w:t>Vision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2030» делает </w:t>
      </w:r>
      <w:r w:rsidR="0070597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упор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на производство, планируя выпус</w:t>
      </w:r>
      <w:r w:rsidR="0070597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кать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</w:t>
      </w:r>
      <w:r w:rsidR="00725744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около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500 тысяч электрокаров ежегодно. В Северной Африке Марокко также интегриру</w:t>
      </w:r>
      <w:r w:rsidR="009D06E8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ет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электротранспорт, привлекая </w:t>
      </w:r>
      <w:r w:rsidR="00A6098B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иностранные </w:t>
      </w:r>
      <w:r w:rsidR="00E5524D" w:rsidRPr="00E5524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автомобилестроительн</w:t>
      </w:r>
      <w:r w:rsidR="00E5524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ые</w:t>
      </w:r>
      <w:r w:rsidR="00E5524D" w:rsidRPr="00E5524D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корпорации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для локализации производства</w:t>
      </w:r>
      <w:r w:rsidR="008000D6"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.</w:t>
      </w:r>
      <w:r w:rsidR="00411E00" w:rsidRPr="00411E00">
        <w:rPr>
          <w:rFonts w:asciiTheme="majorBidi" w:hAnsiTheme="majorBidi" w:cstheme="majorBidi"/>
        </w:rPr>
        <w:t xml:space="preserve"> Несмотря на различие применяемых стратегий, страны региона демонстрируют стремление к развитию электромобильности, что открывает широкие перспективы для налаживания технологического партнерства </w:t>
      </w:r>
      <w:r w:rsidRPr="00CD307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и унификации стандартов.</w:t>
      </w:r>
    </w:p>
    <w:p w14:paraId="49F00FDA" w14:textId="2BB2B922" w:rsidR="0045464A" w:rsidRPr="006824F1" w:rsidRDefault="0045464A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EE0000"/>
          <w:kern w:val="0"/>
          <w:lang w:eastAsia="ru-RU"/>
          <w14:ligatures w14:val="none"/>
        </w:rPr>
      </w:pP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Реализация этих векторов сдерживается рядом общих для региона </w:t>
      </w:r>
      <w:r w:rsidR="00BA18B8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проблем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. Среди них — недостаточное развитие зарядной инфраструктуры, высокая стоимость технологий, устаревшие регуляторные нормы в энергетике и массовый импорт подержанных автомобилей с двигателями внутреннего сгорания, нивелирующий экологический эффект </w:t>
      </w:r>
      <w:r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F540F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2,3</w:t>
      </w:r>
      <w:r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].</w:t>
      </w:r>
    </w:p>
    <w:p w14:paraId="199CFE1B" w14:textId="483298F8" w:rsidR="0045464A" w:rsidRDefault="0045464A" w:rsidP="005F1BF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Таким образом, успех электромобильной трансформации в арабском мире зависит не </w:t>
      </w:r>
      <w:r w:rsidR="00C5757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только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 от технологических решений, </w:t>
      </w:r>
      <w:r w:rsidR="00C57571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но и от </w:t>
      </w:r>
      <w:r w:rsidRPr="0045464A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 xml:space="preserve">способности правительств выработать согласованную межведомственную политику. Ключевыми рекомендациями экспертов ЭСКЗА являются: разработка национальных стратегий устойчивой мобильности, реформа энергорынков с внедрением «умных» тарифов, локализация производства батарей и установление целевых дат поэтапного отказа от транспорта с двигателями внутреннего сгорания, в первую очередь в государственном секторе </w:t>
      </w:r>
      <w:r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[</w:t>
      </w:r>
      <w:r w:rsidR="00F540F3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2,3</w:t>
      </w:r>
      <w:r w:rsidRPr="00D843F2"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  <w:t>].</w:t>
      </w:r>
    </w:p>
    <w:p w14:paraId="71F9DC5C" w14:textId="77777777" w:rsidR="00FD4258" w:rsidRPr="00FD4258" w:rsidRDefault="00210C49" w:rsidP="00FD4258">
      <w:pPr>
        <w:spacing w:before="240" w:after="24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val="es-ES" w:eastAsia="ru-RU"/>
          <w14:ligatures w14:val="none"/>
        </w:rPr>
      </w:pPr>
      <w:r w:rsidRPr="00FD4258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ru-RU"/>
          <w14:ligatures w14:val="none"/>
        </w:rPr>
        <w:t>Литература</w:t>
      </w:r>
    </w:p>
    <w:p w14:paraId="2751ECF9" w14:textId="0CFCCF26" w:rsidR="00FD4258" w:rsidRPr="00FD4258" w:rsidRDefault="00FD4258" w:rsidP="00FD4258">
      <w:pPr>
        <w:pStyle w:val="a8"/>
        <w:numPr>
          <w:ilvl w:val="0"/>
          <w:numId w:val="3"/>
        </w:numPr>
        <w:spacing w:before="240" w:after="24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lang w:val="es-ES" w:eastAsia="ru-RU"/>
          <w14:ligatures w14:val="none"/>
        </w:rPr>
      </w:pP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Ibold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S. Le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rôle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du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Maroc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dans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la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révolution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mondiale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 xml:space="preserve"> de </w:t>
      </w:r>
      <w:proofErr w:type="spellStart"/>
      <w:r w:rsidRPr="00FD4258">
        <w:rPr>
          <w:rFonts w:asciiTheme="majorBidi" w:hAnsiTheme="majorBidi" w:cstheme="majorBidi"/>
          <w:kern w:val="0"/>
          <w:lang w:val="es-ES"/>
        </w:rPr>
        <w:t>l'électromobilité</w:t>
      </w:r>
      <w:proofErr w:type="spellEnd"/>
      <w:r w:rsidRPr="00FD4258">
        <w:rPr>
          <w:rFonts w:asciiTheme="majorBidi" w:hAnsiTheme="majorBidi" w:cstheme="majorBidi"/>
          <w:kern w:val="0"/>
          <w:lang w:val="es-ES"/>
        </w:rPr>
        <w:t>. Juin 2024.</w:t>
      </w:r>
    </w:p>
    <w:p w14:paraId="0B19C307" w14:textId="77777777" w:rsidR="00FD4258" w:rsidRPr="00FD4258" w:rsidRDefault="00FD4258" w:rsidP="00FD4258">
      <w:pPr>
        <w:pStyle w:val="a8"/>
        <w:numPr>
          <w:ilvl w:val="0"/>
          <w:numId w:val="3"/>
        </w:numPr>
        <w:spacing w:before="240" w:after="24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 w:rsidRPr="00FD4258">
        <w:rPr>
          <w:rFonts w:asciiTheme="majorBidi" w:hAnsiTheme="majorBidi" w:cstheme="majorBidi"/>
          <w:kern w:val="0"/>
          <w:lang w:val="en-US"/>
        </w:rPr>
        <w:t>UN ESCWA. Land Electric Mobility in the Arab Region: Options and opportunities. Beirut: United Nations, 2022.</w:t>
      </w:r>
    </w:p>
    <w:p w14:paraId="45830CBA" w14:textId="0652C12D" w:rsidR="00E225C2" w:rsidRPr="00E225C2" w:rsidRDefault="00FD4258" w:rsidP="00E225C2">
      <w:pPr>
        <w:pStyle w:val="a8"/>
        <w:numPr>
          <w:ilvl w:val="0"/>
          <w:numId w:val="3"/>
        </w:numPr>
        <w:spacing w:before="240" w:after="24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r w:rsidRPr="00FD4258">
        <w:rPr>
          <w:rFonts w:asciiTheme="majorBidi" w:hAnsiTheme="majorBidi" w:cstheme="majorBidi"/>
          <w:kern w:val="0"/>
          <w:lang w:val="en-US"/>
        </w:rPr>
        <w:t xml:space="preserve">UN ESCWA. Technology and Innovation for the Development of Land Transport in Arab Countries. </w:t>
      </w:r>
      <w:r w:rsidRPr="00FD4258">
        <w:rPr>
          <w:rFonts w:asciiTheme="majorBidi" w:hAnsiTheme="majorBidi" w:cstheme="majorBidi"/>
          <w:kern w:val="0"/>
        </w:rPr>
        <w:t>New York: United Nations, 2021.</w:t>
      </w:r>
    </w:p>
    <w:p w14:paraId="0A9576E8" w14:textId="4F1A13C1" w:rsidR="00FD4258" w:rsidRPr="00FD4258" w:rsidRDefault="00FD4258" w:rsidP="00FD4258">
      <w:pPr>
        <w:pStyle w:val="a8"/>
        <w:numPr>
          <w:ilvl w:val="0"/>
          <w:numId w:val="3"/>
        </w:numPr>
        <w:spacing w:before="240" w:after="24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  <w:proofErr w:type="spellStart"/>
      <w:r w:rsidRPr="00FD4258">
        <w:rPr>
          <w:rFonts w:asciiTheme="majorBidi" w:hAnsiTheme="majorBidi" w:cstheme="majorBidi"/>
          <w:kern w:val="0"/>
        </w:rPr>
        <w:t>Arval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Mobility </w:t>
      </w:r>
      <w:proofErr w:type="spellStart"/>
      <w:r w:rsidRPr="00FD4258">
        <w:rPr>
          <w:rFonts w:asciiTheme="majorBidi" w:hAnsiTheme="majorBidi" w:cstheme="majorBidi"/>
          <w:kern w:val="0"/>
        </w:rPr>
        <w:t>Observatory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/ </w:t>
      </w:r>
      <w:proofErr w:type="spellStart"/>
      <w:r w:rsidRPr="00FD4258">
        <w:rPr>
          <w:rFonts w:asciiTheme="majorBidi" w:hAnsiTheme="majorBidi" w:cstheme="majorBidi"/>
          <w:kern w:val="0"/>
        </w:rPr>
        <w:t>Ipsos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. </w:t>
      </w:r>
      <w:proofErr w:type="spellStart"/>
      <w:r w:rsidRPr="00FD4258">
        <w:rPr>
          <w:rFonts w:asciiTheme="majorBidi" w:hAnsiTheme="majorBidi" w:cstheme="majorBidi"/>
          <w:kern w:val="0"/>
        </w:rPr>
        <w:t>Baromètre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des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flottes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et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de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la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mobilité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2024: </w:t>
      </w:r>
      <w:proofErr w:type="spellStart"/>
      <w:r w:rsidRPr="00FD4258">
        <w:rPr>
          <w:rFonts w:asciiTheme="majorBidi" w:hAnsiTheme="majorBidi" w:cstheme="majorBidi"/>
          <w:kern w:val="0"/>
        </w:rPr>
        <w:t>résultats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pour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le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</w:t>
      </w:r>
      <w:proofErr w:type="spellStart"/>
      <w:r w:rsidRPr="00FD4258">
        <w:rPr>
          <w:rFonts w:asciiTheme="majorBidi" w:hAnsiTheme="majorBidi" w:cstheme="majorBidi"/>
          <w:kern w:val="0"/>
        </w:rPr>
        <w:t>Maroc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// Le Matin.ma. </w:t>
      </w:r>
      <w:proofErr w:type="spellStart"/>
      <w:r w:rsidRPr="00FD4258">
        <w:rPr>
          <w:rFonts w:asciiTheme="majorBidi" w:hAnsiTheme="majorBidi" w:cstheme="majorBidi"/>
          <w:kern w:val="0"/>
        </w:rPr>
        <w:t>Mai</w:t>
      </w:r>
      <w:proofErr w:type="spellEnd"/>
      <w:r w:rsidRPr="00FD4258">
        <w:rPr>
          <w:rFonts w:asciiTheme="majorBidi" w:hAnsiTheme="majorBidi" w:cstheme="majorBidi"/>
          <w:kern w:val="0"/>
        </w:rPr>
        <w:t xml:space="preserve"> 2024. URL: </w:t>
      </w:r>
      <w:hyperlink r:id="rId7" w:history="1">
        <w:r w:rsidRPr="00C916C9">
          <w:rPr>
            <w:rStyle w:val="af"/>
            <w:rFonts w:asciiTheme="majorBidi" w:hAnsiTheme="majorBidi" w:cstheme="majorBidi"/>
            <w:kern w:val="0"/>
          </w:rPr>
          <w:t>https://lematin.ma/automobile/barometre-des-flottes-et-de-la-mobilite-2024/227781</w:t>
        </w:r>
      </w:hyperlink>
      <w:r w:rsidRPr="00FD4258">
        <w:rPr>
          <w:rFonts w:asciiTheme="majorBidi" w:hAnsiTheme="majorBidi" w:cstheme="majorBidi"/>
          <w:kern w:val="0"/>
        </w:rPr>
        <w:t xml:space="preserve"> (дата обращения: 28.02.2026).</w:t>
      </w:r>
    </w:p>
    <w:p w14:paraId="27CA9203" w14:textId="6183BBE1" w:rsidR="00051113" w:rsidRPr="00C916C9" w:rsidRDefault="00051113" w:rsidP="009E5A81">
      <w:pPr>
        <w:spacing w:before="240" w:after="24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lang w:eastAsia="ru-RU"/>
          <w14:ligatures w14:val="none"/>
        </w:rPr>
      </w:pPr>
    </w:p>
    <w:sectPr w:rsidR="00051113" w:rsidRPr="00C916C9" w:rsidSect="000240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ayaTelivigala">
    <w:panose1 w:val="00000500000000000000"/>
    <w:charset w:val="00"/>
    <w:family w:val="auto"/>
    <w:pitch w:val="variable"/>
    <w:sig w:usb0="002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F58"/>
    <w:multiLevelType w:val="hybridMultilevel"/>
    <w:tmpl w:val="E662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28E2"/>
    <w:multiLevelType w:val="hybridMultilevel"/>
    <w:tmpl w:val="ECDE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3455"/>
    <w:multiLevelType w:val="multilevel"/>
    <w:tmpl w:val="AF5A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116140">
    <w:abstractNumId w:val="2"/>
  </w:num>
  <w:num w:numId="2" w16cid:durableId="221528854">
    <w:abstractNumId w:val="1"/>
  </w:num>
  <w:num w:numId="3" w16cid:durableId="95128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A"/>
    <w:rsid w:val="00006653"/>
    <w:rsid w:val="00024091"/>
    <w:rsid w:val="00031445"/>
    <w:rsid w:val="00047D5F"/>
    <w:rsid w:val="00051113"/>
    <w:rsid w:val="000760F9"/>
    <w:rsid w:val="0008628B"/>
    <w:rsid w:val="00097097"/>
    <w:rsid w:val="000C4933"/>
    <w:rsid w:val="0012265D"/>
    <w:rsid w:val="00127CC9"/>
    <w:rsid w:val="001374BC"/>
    <w:rsid w:val="001724FF"/>
    <w:rsid w:val="00210C49"/>
    <w:rsid w:val="002471C7"/>
    <w:rsid w:val="00294B65"/>
    <w:rsid w:val="002C0641"/>
    <w:rsid w:val="002E14E5"/>
    <w:rsid w:val="002E3DDC"/>
    <w:rsid w:val="003340C0"/>
    <w:rsid w:val="00375722"/>
    <w:rsid w:val="00411E00"/>
    <w:rsid w:val="0045464A"/>
    <w:rsid w:val="004B08B3"/>
    <w:rsid w:val="004C3056"/>
    <w:rsid w:val="004D1456"/>
    <w:rsid w:val="004D5130"/>
    <w:rsid w:val="004E195F"/>
    <w:rsid w:val="0051448A"/>
    <w:rsid w:val="00566E5C"/>
    <w:rsid w:val="00567785"/>
    <w:rsid w:val="0057079E"/>
    <w:rsid w:val="005B4A3E"/>
    <w:rsid w:val="005D0ED7"/>
    <w:rsid w:val="005F1BFB"/>
    <w:rsid w:val="00602739"/>
    <w:rsid w:val="006460D1"/>
    <w:rsid w:val="006824F1"/>
    <w:rsid w:val="006A1B2D"/>
    <w:rsid w:val="006C38DD"/>
    <w:rsid w:val="00705971"/>
    <w:rsid w:val="00725744"/>
    <w:rsid w:val="00733944"/>
    <w:rsid w:val="0076476B"/>
    <w:rsid w:val="008000D6"/>
    <w:rsid w:val="00816FAA"/>
    <w:rsid w:val="00820E55"/>
    <w:rsid w:val="0089283E"/>
    <w:rsid w:val="008A7982"/>
    <w:rsid w:val="008D2C6C"/>
    <w:rsid w:val="008D2F2F"/>
    <w:rsid w:val="00910993"/>
    <w:rsid w:val="00973828"/>
    <w:rsid w:val="009D06E8"/>
    <w:rsid w:val="009E5A81"/>
    <w:rsid w:val="00A02597"/>
    <w:rsid w:val="00A0648F"/>
    <w:rsid w:val="00A13FA4"/>
    <w:rsid w:val="00A166F2"/>
    <w:rsid w:val="00A20B61"/>
    <w:rsid w:val="00A320A1"/>
    <w:rsid w:val="00A56300"/>
    <w:rsid w:val="00A6098B"/>
    <w:rsid w:val="00A62C4B"/>
    <w:rsid w:val="00AC262E"/>
    <w:rsid w:val="00B3724B"/>
    <w:rsid w:val="00B83373"/>
    <w:rsid w:val="00B951E1"/>
    <w:rsid w:val="00BA18B8"/>
    <w:rsid w:val="00BB293D"/>
    <w:rsid w:val="00C32058"/>
    <w:rsid w:val="00C57571"/>
    <w:rsid w:val="00C73CA5"/>
    <w:rsid w:val="00C916C9"/>
    <w:rsid w:val="00CA2B13"/>
    <w:rsid w:val="00CA52DA"/>
    <w:rsid w:val="00CB59EF"/>
    <w:rsid w:val="00CD307A"/>
    <w:rsid w:val="00D05890"/>
    <w:rsid w:val="00D277D7"/>
    <w:rsid w:val="00D335FF"/>
    <w:rsid w:val="00D46387"/>
    <w:rsid w:val="00D47BF3"/>
    <w:rsid w:val="00D54366"/>
    <w:rsid w:val="00D57CE2"/>
    <w:rsid w:val="00D843F2"/>
    <w:rsid w:val="00E225C2"/>
    <w:rsid w:val="00E317FF"/>
    <w:rsid w:val="00E5524D"/>
    <w:rsid w:val="00EB2964"/>
    <w:rsid w:val="00F13064"/>
    <w:rsid w:val="00F21BEC"/>
    <w:rsid w:val="00F540F3"/>
    <w:rsid w:val="00F54834"/>
    <w:rsid w:val="00F63DE4"/>
    <w:rsid w:val="00F70359"/>
    <w:rsid w:val="00FA577B"/>
    <w:rsid w:val="00FC63CB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E715"/>
  <w15:chartTrackingRefBased/>
  <w15:docId w15:val="{ADFF9ED9-D01E-E44E-815F-3D7D2376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58"/>
  </w:style>
  <w:style w:type="paragraph" w:styleId="1">
    <w:name w:val="heading 1"/>
    <w:basedOn w:val="a"/>
    <w:next w:val="a"/>
    <w:link w:val="10"/>
    <w:uiPriority w:val="9"/>
    <w:qFormat/>
    <w:rsid w:val="00454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 стиль"/>
    <w:basedOn w:val="a"/>
    <w:qFormat/>
    <w:rsid w:val="00051113"/>
    <w:rPr>
      <w:rFonts w:ascii="AkayaTelivigala" w:hAnsi="AkayaTelivigala" w:cstheme="majorBidi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454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6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6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64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54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54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54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54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64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5464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64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64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64A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45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45464A"/>
  </w:style>
  <w:style w:type="character" w:styleId="ad">
    <w:name w:val="Strong"/>
    <w:basedOn w:val="a0"/>
    <w:uiPriority w:val="22"/>
    <w:qFormat/>
    <w:rsid w:val="0045464A"/>
    <w:rPr>
      <w:b/>
      <w:bCs/>
    </w:rPr>
  </w:style>
  <w:style w:type="character" w:styleId="ae">
    <w:name w:val="Emphasis"/>
    <w:basedOn w:val="a0"/>
    <w:uiPriority w:val="20"/>
    <w:qFormat/>
    <w:rsid w:val="0045464A"/>
    <w:rPr>
      <w:i/>
      <w:iCs/>
    </w:rPr>
  </w:style>
  <w:style w:type="character" w:styleId="af">
    <w:name w:val="Hyperlink"/>
    <w:basedOn w:val="a0"/>
    <w:uiPriority w:val="99"/>
    <w:unhideWhenUsed/>
    <w:rsid w:val="0045464A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4B08B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20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matin.ma/automobile/barometre-des-flottes-et-de-la-mobilite-2024/2277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na.vershut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FD49F1-011D-494D-9BBA-7A33CD21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Вершута</dc:creator>
  <cp:keywords/>
  <dc:description/>
  <cp:lastModifiedBy>Алёна Вершута</cp:lastModifiedBy>
  <cp:revision>185</cp:revision>
  <dcterms:created xsi:type="dcterms:W3CDTF">2026-02-23T15:57:00Z</dcterms:created>
  <dcterms:modified xsi:type="dcterms:W3CDTF">2026-02-28T17:39:00Z</dcterms:modified>
</cp:coreProperties>
</file>