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Особенности экономического развития китайской и южноазиатской диаспор в Лондоне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2000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2020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По умолчанию A"/>
        <w:spacing w:before="0"/>
        <w:jc w:val="center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Коргунова Ульяна Сергеевна</w:t>
      </w:r>
    </w:p>
    <w:p>
      <w:pPr>
        <w:pStyle w:val="По умолчанию A"/>
        <w:spacing w:before="0"/>
        <w:jc w:val="center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Студентка </w:t>
      </w:r>
      <w:r>
        <w:rPr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 </w:t>
      </w:r>
      <w:r>
        <w:rPr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курс бакалавриата</w:t>
      </w:r>
    </w:p>
    <w:p>
      <w:pPr>
        <w:pStyle w:val="По умолчанию A"/>
        <w:spacing w:before="0"/>
        <w:jc w:val="center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Московский государственный университет имени М</w:t>
      </w:r>
      <w:r>
        <w:rPr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Ломоносова</w:t>
      </w:r>
      <w:r>
        <w:rPr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 A"/>
        <w:spacing w:before="0"/>
        <w:jc w:val="center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Институт стран Азии и Африки</w:t>
      </w:r>
      <w:r>
        <w:rPr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Москва</w:t>
      </w:r>
      <w:r>
        <w:rPr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Россия</w:t>
      </w:r>
    </w:p>
    <w:p>
      <w:pPr>
        <w:pStyle w:val="По умолчанию A"/>
        <w:spacing w:before="0"/>
        <w:jc w:val="center"/>
        <w:rPr>
          <w:i w:val="1"/>
          <w:i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E</w:t>
      </w:r>
      <w:r>
        <w:rPr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mail: ukor1207@mail.ru</w:t>
      </w:r>
    </w:p>
    <w:p>
      <w:pPr>
        <w:pStyle w:val="По умолчанию A"/>
        <w:spacing w:before="0"/>
        <w:ind w:firstLine="567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Основной текст A"/>
        <w:spacing w:before="20" w:after="20"/>
        <w:ind w:firstLine="567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Начало </w:t>
      </w:r>
      <w:r>
        <w:rPr>
          <w:rFonts w:ascii="Times New Roman" w:hAnsi="Times New Roman"/>
          <w:sz w:val="24"/>
          <w:szCs w:val="24"/>
          <w:rtl w:val="0"/>
          <w:lang w:val="de-DE"/>
        </w:rPr>
        <w:t>XXI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 столетия в странах Западной Европы и Великобритании характеризуется увеличением числа мигрантов из Азии и Африки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 период </w:t>
      </w:r>
      <w:r>
        <w:rPr>
          <w:rFonts w:ascii="Times New Roman" w:hAnsi="Times New Roman"/>
          <w:sz w:val="24"/>
          <w:szCs w:val="24"/>
          <w:rtl w:val="0"/>
          <w:lang w:val="ru-RU"/>
        </w:rPr>
        <w:t>2001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численность представителей иностранных диаспор в Великобритании растёт быстрыми темпами – со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выходцев из Индии и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Китая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de-DE"/>
        </w:rPr>
        <w:t>2</w:t>
      </w:r>
      <w:r>
        <w:rPr>
          <w:rFonts w:ascii="Times New Roman" w:hAnsi="Times New Roman"/>
          <w:sz w:val="24"/>
          <w:szCs w:val="24"/>
          <w:rtl w:val="0"/>
          <w:lang w:val="pt-PT"/>
        </w:rPr>
        <w:t>]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текущем десятилетии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индийская диаспора Лондона продолжает оставаться наиболее крупным этническим меньшинством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момент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насчитывая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656 000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составляя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7,5%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общего 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то время как китайская составляет всего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120 000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или </w:t>
      </w:r>
      <w:r>
        <w:rPr>
          <w:rFonts w:ascii="Times New Roman" w:hAnsi="Times New Roman"/>
          <w:sz w:val="24"/>
          <w:szCs w:val="24"/>
          <w:rtl w:val="0"/>
          <w:lang w:val="ru-RU"/>
        </w:rPr>
        <w:t>1,5%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de-DE"/>
        </w:rPr>
        <w:t>6</w:t>
      </w:r>
      <w:r>
        <w:rPr>
          <w:rFonts w:ascii="Times New Roman" w:hAnsi="Times New Roman"/>
          <w:sz w:val="24"/>
          <w:szCs w:val="24"/>
          <w:rtl w:val="0"/>
          <w:lang w:val="pt-PT"/>
        </w:rPr>
        <w:t>]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Крупные диаспоры становятся активным элементом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принимающих участие в различных сферах жизни британского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интерпретации миграции как способа «приобретения мозгов»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квалифицированные мигранты не только проявляют активность в экономике и науке страны пребывания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совершают вклад в развитие страны происхождения – яркий пример тому пенджабская диаспора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путём передачи опыта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технологий и совершения денежных переводов улучшила материальное состояние многих индийских семей и внесла положительные изменения в повседневную жизнь Индии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de-DE"/>
        </w:rPr>
        <w:t>4</w:t>
      </w:r>
      <w:r>
        <w:rPr>
          <w:rFonts w:ascii="Times New Roman" w:hAnsi="Times New Roman"/>
          <w:sz w:val="24"/>
          <w:szCs w:val="24"/>
          <w:rtl w:val="0"/>
          <w:lang w:val="pt-PT"/>
        </w:rPr>
        <w:t>]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Представители Южной Азии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иммигрируя в Великобританию с минимальным образованием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процессе адаптации показывают высокий уровень социальной мобильности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несколько поколений проходя путь с открытия небольшого ларька до основания средних и крупных предприятий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количество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компани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принадлежащих диаспоре или возглавляемых ею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достигает </w:t>
      </w:r>
      <w:r>
        <w:rPr>
          <w:rFonts w:ascii="Times New Roman" w:hAnsi="Times New Roman"/>
          <w:sz w:val="24"/>
          <w:szCs w:val="24"/>
          <w:rtl w:val="0"/>
          <w:lang w:val="ru-RU"/>
        </w:rPr>
        <w:t>954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годовым оборотом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100 000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фунтов стерлингов и более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Совокупный годовой оборот этих компаний составлял не менее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36,84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миллиарда фунтов стерлингов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Крупнейшие работодатели из числа диаспоры – 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кого более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обеспечивают около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174 000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рабочих мест в Великобритании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de-DE"/>
        </w:rPr>
        <w:t>1</w:t>
      </w:r>
      <w:r>
        <w:rPr>
          <w:rFonts w:ascii="Times New Roman" w:hAnsi="Times New Roman"/>
          <w:sz w:val="24"/>
          <w:szCs w:val="24"/>
          <w:rtl w:val="0"/>
          <w:lang w:val="pt-PT"/>
        </w:rPr>
        <w:t>].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аждая из рассматриваемых диаспор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включает в себя представителей различных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социальных слоёв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обуславливает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складывание противоположных стереотипов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об этносе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Эту тенденцию ярко иллюстрирует китайская диаспора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представляющая собой контрастную картину из нелегальных мигрантов и элиты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Несмотря на сложный и долгий процесс ассимиляции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fr-FR"/>
        </w:rPr>
        <w:t>XXI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китайцы добиваются статуса наиболее обеспеченной этнической группы Великобритании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Китайские студенты – самые многочисленные среди иностранцев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получающих высшее образование в университетах Англии –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занимают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1/3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26 000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общего числа интернациональных студентов и по проценту поступления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(98%)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превышают число индийских студентов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(96%)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de-DE"/>
        </w:rPr>
        <w:t>6</w:t>
      </w:r>
      <w:r>
        <w:rPr>
          <w:rFonts w:ascii="Times New Roman" w:hAnsi="Times New Roman"/>
          <w:sz w:val="24"/>
          <w:szCs w:val="24"/>
          <w:rtl w:val="0"/>
          <w:lang w:val="pt-PT"/>
        </w:rPr>
        <w:t>]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Лондонский Чайна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таун из закрытого анклава с тенденциями низкооплачиваемого труда и теневой экономики превращается в экономически важный район с высокой концентрацией преимущественно китайского бизнеса и один из главных туристических хабов Лондона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который ежегодно посещают </w:t>
      </w:r>
      <w:r>
        <w:rPr>
          <w:rFonts w:ascii="Times New Roman" w:hAnsi="Times New Roman"/>
          <w:sz w:val="24"/>
          <w:szCs w:val="24"/>
          <w:rtl w:val="0"/>
          <w:lang w:val="ru-RU"/>
        </w:rPr>
        <w:t>17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миллионов туристов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сегодняшний день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являясь самым большим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Чайна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таун остаётся важным городским пространством для местных жителей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изобилуя китайскими супермаркетам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ресторанами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парикмахерскими и другими этническими услугами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before="20" w:after="2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Различные траектории развития можно заметить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сравнивая уровень развития диаспор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конкретных сферах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ресторанном бизнесе индийская диаспора лидирует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феврал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2026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в Лондоне насчитывается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ресторан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 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ндийской кухни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которых имеют звезду Мишлен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Китайская кухня Лондона ограничивается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1244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ресторанами и не пользуется популярностью среди горожан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июле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самая большая сеть китайских ресторанов </w:t>
      </w:r>
      <w:r>
        <w:rPr>
          <w:rFonts w:ascii="Times New Roman" w:hAnsi="Times New Roman"/>
          <w:sz w:val="24"/>
          <w:szCs w:val="24"/>
          <w:rtl w:val="0"/>
          <w:lang w:val="de-DE"/>
        </w:rPr>
        <w:t>Ping Pong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работавшая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и имевшая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филиалов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полностью прекратила свою работу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before="20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Методы проведения данного исследования включают в себя анализ официальной статистики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академических публикаций и данных социологических исследований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ходе исследования рассматривается экономическая деятельность двух диаспор в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XXI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сравнивается уровень ассимиляции их представителей и траектории социальной мобильности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результаты свидетельствуют о различии выбираемых путей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представители Южной Азии демонстрируют классическую восходящую мобильность через малый бизнес и профессиональные карьеры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 время как китайская диаспора формирует концентрированные коммерческие кластеры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ставшие важным элементом туристической и торговой инфраструктуры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Список литературы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сновной текст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rtl w:val="0"/>
          <w:lang w:val="en-US"/>
        </w:rPr>
        <w:t>India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in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UK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diaspora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effect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2.0 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Индия в Великобритании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эффект диаспоры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2.0].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London : Grant Thornton UK LLP, 2021.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ru-RU"/>
        </w:rPr>
        <w:t>24 p.</w:t>
      </w:r>
    </w:p>
    <w:p>
      <w:pPr>
        <w:pStyle w:val="Основной текст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2. Lam, T. The Changing Chinese Community in London: New Migration, New Needs : final report / T. Lam, R. Sales, A. D</w:t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Angelo, N. Montagna, X. Lin.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London : Social Policy Research Centre, Middlesex University, 2009.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54 p.</w:t>
      </w:r>
    </w:p>
    <w:p>
      <w:pPr>
        <w:pStyle w:val="Основной текст A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3. Knowles, C. Young Chinese Migrants in London / C. Knowles.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London : Runnymede Perspectives, 2015.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12 p.</w:t>
      </w:r>
    </w:p>
    <w:p>
      <w:pPr>
        <w:pStyle w:val="Основной текст A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4. Chanda, R. The Punjabi Diaspora in the UK: An Overview of Characteristics and Contributions to India 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Пенджабская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диаспора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Великобритании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обзор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характеристик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вклада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Индию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 / R. Chanda, S. Ghosh.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Bangalore : Indian Institute of Management Bangalore, 2012.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20 p.</w:t>
      </w:r>
    </w:p>
    <w:p>
      <w:pPr>
        <w:pStyle w:val="Основной текст A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5.</w:t>
      </w:r>
      <w:r>
        <w:rPr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Ethnic group, England and Wales: Census 2021. Office for National Statistics (ONS), released 29 November 2022, ONS website, statistical bulletin.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электронный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ресурс</w:t>
      </w:r>
      <w:r>
        <w:rPr>
          <w:rFonts w:ascii="Times New Roman" w:hAnsi="Times New Roman"/>
          <w:sz w:val="24"/>
          <w:szCs w:val="24"/>
          <w:rtl w:val="0"/>
          <w:lang w:val="en-US"/>
        </w:rPr>
        <w:t>] URL: https://www.ons.gov.uk/peoplepopulationandcommunity/culturalidentity/ethnicity/bulletins/ethnicgroupenglandandwales/census2021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дата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обращения</w:t>
      </w:r>
      <w:r>
        <w:rPr>
          <w:rFonts w:ascii="Times New Roman" w:hAnsi="Times New Roman"/>
          <w:sz w:val="24"/>
          <w:szCs w:val="24"/>
          <w:rtl w:val="0"/>
          <w:lang w:val="en-US"/>
        </w:rPr>
        <w:t>: 01.03.2026)</w:t>
      </w:r>
    </w:p>
    <w:p>
      <w:pPr>
        <w:pStyle w:val="Основной текст A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Основной текст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6. Destinations of school pupils after key stage 4 (usually aged 16 years).</w:t>
      </w:r>
      <w:r>
        <w:rPr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Ethnicity facts and figures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электронный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ресурс</w:t>
      </w:r>
      <w:r>
        <w:rPr>
          <w:rFonts w:ascii="Times New Roman" w:hAnsi="Times New Roman"/>
          <w:sz w:val="24"/>
          <w:szCs w:val="24"/>
          <w:rtl w:val="0"/>
          <w:lang w:val="en-US"/>
        </w:rPr>
        <w:t>] URL: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https://www.ethnicity-facts-figures.service.gov.uk/education-skills-and-training/after-education/destinations-of-school-pupils-after-key-stage-4-usually-aged-16-years/latest/#things-you-need-to-know </w:t>
      </w:r>
      <w:r>
        <w:rPr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дата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обращения</w:t>
      </w:r>
      <w:r>
        <w:rPr>
          <w:rFonts w:ascii="Times New Roman" w:hAnsi="Times New Roman"/>
          <w:sz w:val="24"/>
          <w:szCs w:val="24"/>
          <w:rtl w:val="0"/>
          <w:lang w:val="en-US"/>
        </w:rPr>
        <w:t>: 01.03.2026)</w:t>
      </w:r>
    </w:p>
    <w:p>
      <w:pPr>
        <w:pStyle w:val="Основной текст A"/>
      </w:pPr>
      <w:r>
        <w:rPr>
          <w:rFonts w:ascii="Times New Roman" w:cs="Times New Roman" w:hAnsi="Times New Roman" w:eastAsia="Times New Roman"/>
          <w:sz w:val="24"/>
          <w:szCs w:val="24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