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18EB" w:rsidRDefault="00000000">
      <w:pPr>
        <w:spacing w:after="1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353535"/>
          <w:sz w:val="24"/>
          <w:szCs w:val="24"/>
        </w:rPr>
        <w:t>Тенденции энергетического перехода в Индии: драйверы и барьеры</w:t>
      </w:r>
    </w:p>
    <w:p w14:paraId="00000002" w14:textId="77777777" w:rsidR="002418EB"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Журова И. С.</w:t>
      </w:r>
    </w:p>
    <w:p w14:paraId="00000003" w14:textId="77777777" w:rsidR="002418EB"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Студент 4 курса бакалавриата,</w:t>
      </w:r>
    </w:p>
    <w:p w14:paraId="00000004" w14:textId="77777777" w:rsidR="002418EB"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Московский государственный университет имени М.В.Ломоносова, </w:t>
      </w:r>
    </w:p>
    <w:p w14:paraId="00000005" w14:textId="77777777" w:rsidR="002418EB"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факультет Институт стран Азии и Африки, Москва, Россия</w:t>
      </w:r>
    </w:p>
    <w:p w14:paraId="00000006" w14:textId="77777777" w:rsidR="002418EB" w:rsidRPr="00E449CF" w:rsidRDefault="00000000">
      <w:pPr>
        <w:spacing w:line="240" w:lineRule="auto"/>
        <w:jc w:val="center"/>
        <w:rPr>
          <w:rFonts w:ascii="Times New Roman" w:eastAsia="Times New Roman" w:hAnsi="Times New Roman" w:cs="Times New Roman"/>
          <w:i/>
          <w:iCs/>
          <w:sz w:val="24"/>
          <w:szCs w:val="24"/>
          <w:lang w:val="en-US"/>
        </w:rPr>
      </w:pPr>
      <w:r w:rsidRPr="00E449CF">
        <w:rPr>
          <w:rFonts w:ascii="Times New Roman" w:eastAsia="Times New Roman" w:hAnsi="Times New Roman" w:cs="Times New Roman"/>
          <w:i/>
          <w:iCs/>
          <w:sz w:val="24"/>
          <w:szCs w:val="24"/>
          <w:lang w:val="en-US"/>
        </w:rPr>
        <w:t xml:space="preserve">E–mail: </w:t>
      </w:r>
      <w:hyperlink r:id="rId7">
        <w:r w:rsidRPr="00E449CF">
          <w:rPr>
            <w:rFonts w:ascii="Times New Roman" w:eastAsia="Times New Roman" w:hAnsi="Times New Roman" w:cs="Times New Roman"/>
            <w:i/>
            <w:iCs/>
            <w:color w:val="1155CC"/>
            <w:sz w:val="24"/>
            <w:szCs w:val="24"/>
            <w:u w:val="single"/>
            <w:lang w:val="en-US"/>
          </w:rPr>
          <w:t>in.zhurova@yandex.ru</w:t>
        </w:r>
      </w:hyperlink>
    </w:p>
    <w:p w14:paraId="00000007" w14:textId="77777777" w:rsidR="002418EB" w:rsidRPr="00E449CF" w:rsidRDefault="002418EB" w:rsidP="00E449CF">
      <w:pPr>
        <w:spacing w:line="240" w:lineRule="auto"/>
        <w:ind w:firstLine="567"/>
        <w:rPr>
          <w:rFonts w:ascii="Times New Roman" w:eastAsia="Times New Roman" w:hAnsi="Times New Roman" w:cs="Times New Roman"/>
          <w:sz w:val="24"/>
          <w:szCs w:val="24"/>
          <w:lang w:val="en-US"/>
        </w:rPr>
      </w:pPr>
    </w:p>
    <w:p w14:paraId="00000008"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Современный энергетический переход принято понимать как замещение ископаемого топлива возобновляемыми источниками, однако эмпирические данные демонстрируют иную динамику. Исторический анализ показывает, что так называемые «новые» источники энергии (во многом являющиеся технологическим развитием традиционных) не вытесняют старые, а дополняют их, расширяя структуру энергобаланса. В русле этого процесса современный этап энергетической трансформации характеризуется двумя ключевыми тенденциями, движимыми стремительным технологическим прогрессом: декарбонизацией (снижением углеродоемкости) и цифровизацией (внедрением </w:t>
      </w:r>
      <w:r>
        <w:rPr>
          <w:rFonts w:ascii="Times New Roman" w:eastAsia="Times New Roman" w:hAnsi="Times New Roman" w:cs="Times New Roman"/>
          <w:sz w:val="24"/>
          <w:szCs w:val="24"/>
          <w:highlight w:val="white"/>
        </w:rPr>
        <w:t>цифровых, интел</w:t>
      </w:r>
      <w:r>
        <w:rPr>
          <w:rFonts w:ascii="Times New Roman" w:eastAsia="Times New Roman" w:hAnsi="Times New Roman" w:cs="Times New Roman"/>
          <w:sz w:val="24"/>
          <w:szCs w:val="24"/>
        </w:rPr>
        <w:t xml:space="preserve">лектуальных систем). </w:t>
      </w:r>
      <w:r>
        <w:rPr>
          <w:rFonts w:ascii="Times New Roman" w:eastAsia="Times New Roman" w:hAnsi="Times New Roman" w:cs="Times New Roman"/>
          <w:sz w:val="24"/>
          <w:szCs w:val="24"/>
          <w:highlight w:val="white"/>
        </w:rPr>
        <w:t>Их синхронизация становится критическим условием успешного энергоперехода, однако характер этой связи в странах с быстрорастущей экономикой требует отдельного анализа и не сводится к простым линейным зависимостям.</w:t>
      </w:r>
    </w:p>
    <w:p w14:paraId="00000009"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Индия представляет собой уникальный случай для исследования. Будучи пятой экономикой мира и третьим потребителем энергии, страна объявила о цели достичь углеродной нейтральности к 2070 году, одновременно наращивая ВВП темпами около 7% ежегодно. Возникает закономерный вопрос: насколько реалистичны эти цели и какие системные ограничения препятствуют их достижению?</w:t>
      </w:r>
    </w:p>
    <w:p w14:paraId="0000000A"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Качественный</w:t>
      </w:r>
      <w:r>
        <w:rPr>
          <w:rFonts w:ascii="Times New Roman" w:eastAsia="Times New Roman" w:hAnsi="Times New Roman" w:cs="Times New Roman"/>
          <w:sz w:val="24"/>
          <w:szCs w:val="24"/>
        </w:rPr>
        <w:t xml:space="preserve"> анализ индийской стратегии декарбонизации демонстрирует широкую технологическую диверсификацию. Страна активно развивает солнечную энергетику (включая плавучие станции и двусторонние панели), занимает четвертое место в мире по ветроэнергетике, реализует уникальную трехэтапную программу в атомной энергетике с использованием ториевого цикла, внедряет наноматериалы для повышения энергоэффективности. Однако за этими успехами скрываются структурные проблемы: устаревшая сетевая инфраструктура с потерями до 40%, зависимость от импорта компонентов для возобновляемой энергетики, социальная роль угольной отрасли, обеспечивающей занятость в беднейших штатах [1].</w:t>
      </w:r>
    </w:p>
    <w:p w14:paraId="0000000B"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количественной верификации этих выводов был проведен корреляционный анализ, включающий два уровня: долгосрочную динамику общенациональных показателей (1995–2024) и межрегиональные сопоставления по 30 штатам.</w:t>
      </w:r>
    </w:p>
    <w:p w14:paraId="0000000C"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общенациональном уровне выявлена </w:t>
      </w:r>
      <w:r>
        <w:rPr>
          <w:rFonts w:ascii="Times New Roman" w:eastAsia="Times New Roman" w:hAnsi="Times New Roman" w:cs="Times New Roman"/>
          <w:sz w:val="24"/>
          <w:szCs w:val="24"/>
          <w:highlight w:val="white"/>
        </w:rPr>
        <w:t xml:space="preserve">практически функциональная зависимость </w:t>
      </w:r>
      <w:r>
        <w:rPr>
          <w:rFonts w:ascii="Times New Roman" w:eastAsia="Times New Roman" w:hAnsi="Times New Roman" w:cs="Times New Roman"/>
          <w:sz w:val="24"/>
          <w:szCs w:val="24"/>
        </w:rPr>
        <w:t>между динамикой ВВП и энергопотреблением (</w:t>
      </w:r>
      <w:r>
        <w:rPr>
          <w:rFonts w:ascii="Times New Roman" w:eastAsia="Times New Roman" w:hAnsi="Times New Roman" w:cs="Times New Roman"/>
          <w:sz w:val="24"/>
          <w:szCs w:val="24"/>
          <w:highlight w:val="white"/>
        </w:rPr>
        <w:t xml:space="preserve">коэффициент корреляции (r) для логарифмированных величин 0,998). </w:t>
      </w:r>
      <w:r>
        <w:rPr>
          <w:rFonts w:ascii="Times New Roman" w:eastAsia="Times New Roman" w:hAnsi="Times New Roman" w:cs="Times New Roman"/>
          <w:sz w:val="24"/>
          <w:szCs w:val="24"/>
        </w:rPr>
        <w:t xml:space="preserve">Это подтверждает, что индийская экономика сохраняет высокую энергоемкость, и любой экономический рост требует </w:t>
      </w:r>
      <w:r>
        <w:rPr>
          <w:rFonts w:ascii="Times New Roman" w:eastAsia="Times New Roman" w:hAnsi="Times New Roman" w:cs="Times New Roman"/>
          <w:sz w:val="24"/>
          <w:szCs w:val="24"/>
          <w:highlight w:val="white"/>
        </w:rPr>
        <w:t>адекватного</w:t>
      </w:r>
      <w:r>
        <w:rPr>
          <w:rFonts w:ascii="Times New Roman" w:eastAsia="Times New Roman" w:hAnsi="Times New Roman" w:cs="Times New Roman"/>
          <w:sz w:val="24"/>
          <w:szCs w:val="24"/>
        </w:rPr>
        <w:t xml:space="preserve"> наращивания энергогенерации. Критически важным результатом стало отсутствие корреляции между приростами ВВП и населения (r = 0,06). Данный результат указывает на </w:t>
      </w:r>
      <w:r>
        <w:rPr>
          <w:rFonts w:ascii="Times New Roman" w:eastAsia="Times New Roman" w:hAnsi="Times New Roman" w:cs="Times New Roman"/>
          <w:sz w:val="24"/>
          <w:szCs w:val="24"/>
          <w:highlight w:val="white"/>
        </w:rPr>
        <w:t>инерционность</w:t>
      </w:r>
      <w:r>
        <w:rPr>
          <w:rFonts w:ascii="Times New Roman" w:eastAsia="Times New Roman" w:hAnsi="Times New Roman" w:cs="Times New Roman"/>
          <w:sz w:val="24"/>
          <w:szCs w:val="24"/>
        </w:rPr>
        <w:t xml:space="preserve"> демографических процессов: текущий прирост населения — </w:t>
      </w:r>
      <w:r>
        <w:rPr>
          <w:rFonts w:ascii="Times New Roman" w:eastAsia="Times New Roman" w:hAnsi="Times New Roman" w:cs="Times New Roman"/>
          <w:sz w:val="24"/>
          <w:szCs w:val="24"/>
          <w:highlight w:val="white"/>
        </w:rPr>
        <w:t>следствие решений двадцатилетней давности, тогда как экономика реагирует на конъюнктуру немедленно. Следовательно, даже при стабилизации численности населения инерция эконо</w:t>
      </w:r>
      <w:r>
        <w:rPr>
          <w:rFonts w:ascii="Times New Roman" w:eastAsia="Times New Roman" w:hAnsi="Times New Roman" w:cs="Times New Roman"/>
          <w:sz w:val="24"/>
          <w:szCs w:val="24"/>
        </w:rPr>
        <w:t>мического развития продолжит толкать спрос на энергию вверх.</w:t>
      </w:r>
    </w:p>
    <w:p w14:paraId="0000000D"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Пространственный</w:t>
      </w:r>
      <w:r>
        <w:rPr>
          <w:rFonts w:ascii="Times New Roman" w:eastAsia="Times New Roman" w:hAnsi="Times New Roman" w:cs="Times New Roman"/>
          <w:sz w:val="24"/>
          <w:szCs w:val="24"/>
        </w:rPr>
        <w:t xml:space="preserve"> анализ данных по штатам Индии раскрыл еще более неочевидные закономерности. Корреляция между долей </w:t>
      </w:r>
      <w:r>
        <w:rPr>
          <w:rFonts w:ascii="Times New Roman" w:eastAsia="Times New Roman" w:hAnsi="Times New Roman" w:cs="Times New Roman"/>
          <w:sz w:val="24"/>
          <w:szCs w:val="24"/>
          <w:highlight w:val="white"/>
        </w:rPr>
        <w:t>чистых</w:t>
      </w:r>
      <w:r>
        <w:rPr>
          <w:rFonts w:ascii="Times New Roman" w:eastAsia="Times New Roman" w:hAnsi="Times New Roman" w:cs="Times New Roman"/>
          <w:sz w:val="24"/>
          <w:szCs w:val="24"/>
        </w:rPr>
        <w:t xml:space="preserve"> (низкоуглеродных) источников в энергобалансе и валовым региональным продуктом (ВРП) оказалась отрицательной и значимой (r = -0,63). Экономически развитые штаты (Махараштра, Гуджарат, Тамилнад) демонстрируют парадоксально низкую долю «зеленой» энергии в своем балансе. Объяснение кроется в масштабах потребления: промышленно развитые </w:t>
      </w:r>
      <w:r>
        <w:rPr>
          <w:rFonts w:ascii="Times New Roman" w:eastAsia="Times New Roman" w:hAnsi="Times New Roman" w:cs="Times New Roman"/>
          <w:sz w:val="24"/>
          <w:szCs w:val="24"/>
        </w:rPr>
        <w:lastRenderedPageBreak/>
        <w:t>регионы уже создали крупную энергетическую инфраструктуру, исторически завязанную на угле (например, угольный бассейн Джаркханда). В абсолютных цифрах они потребляют много чистой энергии, но база их потребления настолько велика, что доля чистых источников остается относительно низкой. Бедные штаты, имея низкий базовый уровень потребления, могут удовлетворять его даже небольшими установками низкоуглеродных ВИЭ, отчего доля чистых источников формально выглядит выше.</w:t>
      </w:r>
    </w:p>
    <w:p w14:paraId="0000000E"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душевых показателей выявил слабую положительную связь между ВРП на душу населения и долей чистых источников (r = 0,35). Это позволяет говорить о формировании экологического неравенства: более обеспеченные жители имеют доступ к более «зеленой» энергии, тогда как бедные слои населения (и целые штаты) остаются в зоне углеродоемкой генерации, что </w:t>
      </w:r>
      <w:r>
        <w:rPr>
          <w:rFonts w:ascii="Times New Roman" w:eastAsia="Times New Roman" w:hAnsi="Times New Roman" w:cs="Times New Roman"/>
          <w:sz w:val="24"/>
          <w:szCs w:val="24"/>
          <w:highlight w:val="white"/>
        </w:rPr>
        <w:t>создает риск вын</w:t>
      </w:r>
      <w:r>
        <w:rPr>
          <w:rFonts w:ascii="Times New Roman" w:eastAsia="Times New Roman" w:hAnsi="Times New Roman" w:cs="Times New Roman"/>
          <w:sz w:val="24"/>
          <w:szCs w:val="24"/>
        </w:rPr>
        <w:t>оса «грязных» производств в менее развитые регионы.</w:t>
      </w:r>
    </w:p>
    <w:p w14:paraId="0000000F"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Вторая тенденция энергоперехода — цифровизация — также сопряжена с внутренними противоречиями.</w:t>
      </w:r>
      <w:r>
        <w:rPr>
          <w:rFonts w:ascii="Times New Roman" w:eastAsia="Times New Roman" w:hAnsi="Times New Roman" w:cs="Times New Roman"/>
          <w:sz w:val="24"/>
          <w:szCs w:val="24"/>
        </w:rPr>
        <w:t xml:space="preserve"> Пилотные проекты в Индии (блокчейн-платформы для P2P-торговли энергией, IIoT-решения для промышленности) демонстрируют потенциал снижения потерь на 15–30% и оптимизации управления [3,4]. Однако количественная оценка позволяет выявить проблему, известную как «эффект отскока». На глобальном уровне энергопотребление дата-центров растет в четыре раза быстрее общего мирового энергопотребления, увеличиваясь в среднем на 12% ежегодно. В Индии, где 75% электроэнергии по-прежнему вырабатывается на угле, масштабирование цифровой инфраструктуры (дата-центров, блокчейн-сетей, систем искусственного интеллекта) создает скрытый углеродный след. Возникает парадокс: технология, призванная снижать выбросы за счет оптимизации, сама их генерирует из-за нечистого источника питания, и этот дисбаланс особенно опасен в условиях быстрорастущей экономики [2]. </w:t>
      </w:r>
    </w:p>
    <w:p w14:paraId="00000010" w14:textId="77777777" w:rsidR="002418EB" w:rsidRDefault="00000000" w:rsidP="00E449CF">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проведенный анализ позволяет сделать следующие выводы. Во-первых, индийская модель энергоперехода сталкивается с «ловушкой масштаба»: абсолютный рост экономики и энергопотребления нивелирует успехи в относительном снижении углеродоемкости. Во-вторых, региональные диспропорции создают риск закрепления экологического неравенства, когда богатые штаты «зеленеют» за счет выноса углеродоемких производств в более бедные. В-третьих, цифровизация энергетики без синхронного перехода на чистую генерацию для питания самой цифровой инфраструктуры может усугубить, а не решить проблему выбросов. Ключевым условием реализации климатических целей Индии становится не просто наращивание мощностей ВИЭ, а опережающее развитие «зеленой» генерации, способной покрыть растущие потребности как традиционной экономики, так и стремительно расширяющегося цифрового сектора.</w:t>
      </w:r>
    </w:p>
    <w:p w14:paraId="00000011" w14:textId="77777777" w:rsidR="002418EB" w:rsidRDefault="002418EB">
      <w:pPr>
        <w:spacing w:line="240" w:lineRule="auto"/>
        <w:jc w:val="both"/>
        <w:rPr>
          <w:rFonts w:ascii="Times New Roman" w:eastAsia="Times New Roman" w:hAnsi="Times New Roman" w:cs="Times New Roman"/>
          <w:sz w:val="24"/>
          <w:szCs w:val="24"/>
        </w:rPr>
      </w:pPr>
    </w:p>
    <w:p w14:paraId="00000012" w14:textId="77777777" w:rsidR="002418EB"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Список литературы</w:t>
      </w:r>
    </w:p>
    <w:p w14:paraId="00000013" w14:textId="77777777" w:rsidR="002418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Журова И.С. «Зеленая экономика» в Индии: энергопереход и его системные вызовы // Зеленая экономика: проблемы экологии и использования природных ресурсов в условиях форматирования многополярной экономики. – Т. 2. – Санкт-Петербург, 2025. – С. 58-67.</w:t>
      </w:r>
    </w:p>
    <w:p w14:paraId="00000014" w14:textId="77777777" w:rsidR="002418E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Журова И.С. Цифровые технологии в энергетике Индии: драйверы трансформации и системные риски // Сборник статей V Международной межфилиальной научной конференции «Достижения, вызовы и перспективы интеграционных сообществ в условиях цифровой экономики». – Минск: 2025. – С. 312-315.</w:t>
      </w:r>
    </w:p>
    <w:p w14:paraId="00000015" w14:textId="77777777" w:rsidR="002418EB" w:rsidRPr="00E449CF" w:rsidRDefault="00000000">
      <w:pPr>
        <w:spacing w:line="240" w:lineRule="auto"/>
        <w:jc w:val="both"/>
        <w:rPr>
          <w:rFonts w:ascii="Times New Roman" w:eastAsia="Times New Roman" w:hAnsi="Times New Roman" w:cs="Times New Roman"/>
          <w:sz w:val="24"/>
          <w:szCs w:val="24"/>
          <w:lang w:val="en-US"/>
        </w:rPr>
      </w:pPr>
      <w:r w:rsidRPr="00E449CF">
        <w:rPr>
          <w:rFonts w:ascii="Times New Roman" w:eastAsia="Times New Roman" w:hAnsi="Times New Roman" w:cs="Times New Roman"/>
          <w:sz w:val="24"/>
          <w:szCs w:val="24"/>
          <w:lang w:val="en-US"/>
        </w:rPr>
        <w:t>3. Calcutta electricity supply corporation [</w:t>
      </w:r>
      <w:r>
        <w:rPr>
          <w:rFonts w:ascii="Times New Roman" w:eastAsia="Times New Roman" w:hAnsi="Times New Roman" w:cs="Times New Roman"/>
          <w:sz w:val="24"/>
          <w:szCs w:val="24"/>
        </w:rPr>
        <w:t>Электронный</w:t>
      </w:r>
      <w:r w:rsidRPr="00E449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ресурс</w:t>
      </w:r>
      <w:r w:rsidRPr="00E449CF">
        <w:rPr>
          <w:rFonts w:ascii="Times New Roman" w:eastAsia="Times New Roman" w:hAnsi="Times New Roman" w:cs="Times New Roman"/>
          <w:sz w:val="24"/>
          <w:szCs w:val="24"/>
          <w:lang w:val="en-US"/>
        </w:rPr>
        <w:t>] // –</w:t>
      </w:r>
      <w:proofErr w:type="spellStart"/>
      <w:r w:rsidRPr="00E449CF">
        <w:rPr>
          <w:rFonts w:ascii="Times New Roman" w:eastAsia="Times New Roman" w:hAnsi="Times New Roman" w:cs="Times New Roman"/>
          <w:sz w:val="24"/>
          <w:szCs w:val="24"/>
          <w:lang w:val="en-US"/>
        </w:rPr>
        <w:t>Powerledger</w:t>
      </w:r>
      <w:proofErr w:type="spellEnd"/>
      <w:r w:rsidRPr="00E449CF">
        <w:rPr>
          <w:rFonts w:ascii="Times New Roman" w:eastAsia="Times New Roman" w:hAnsi="Times New Roman" w:cs="Times New Roman"/>
          <w:sz w:val="24"/>
          <w:szCs w:val="24"/>
          <w:lang w:val="en-US"/>
        </w:rPr>
        <w:t xml:space="preserve">. – URL: </w:t>
      </w:r>
      <w:hyperlink r:id="rId8">
        <w:r w:rsidRPr="00E449CF">
          <w:rPr>
            <w:rFonts w:ascii="Times New Roman" w:eastAsia="Times New Roman" w:hAnsi="Times New Roman" w:cs="Times New Roman"/>
            <w:color w:val="1155CC"/>
            <w:sz w:val="24"/>
            <w:szCs w:val="24"/>
            <w:u w:val="single"/>
            <w:lang w:val="en-US"/>
          </w:rPr>
          <w:t>https://powerledger.io/clients/calcutta-electricity-supply-corporation-isgf-india/</w:t>
        </w:r>
      </w:hyperlink>
      <w:r w:rsidRPr="00E449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дата</w:t>
      </w:r>
      <w:r w:rsidRPr="00E449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обращения</w:t>
      </w:r>
      <w:r w:rsidRPr="00E449CF">
        <w:rPr>
          <w:rFonts w:ascii="Times New Roman" w:eastAsia="Times New Roman" w:hAnsi="Times New Roman" w:cs="Times New Roman"/>
          <w:sz w:val="24"/>
          <w:szCs w:val="24"/>
          <w:lang w:val="en-US"/>
        </w:rPr>
        <w:t>: 07.03.2026).</w:t>
      </w:r>
    </w:p>
    <w:p w14:paraId="00000016" w14:textId="77777777" w:rsidR="002418EB" w:rsidRPr="00E449CF" w:rsidRDefault="00000000">
      <w:pPr>
        <w:spacing w:line="240" w:lineRule="auto"/>
        <w:jc w:val="both"/>
        <w:rPr>
          <w:rFonts w:ascii="Times New Roman" w:eastAsia="Times New Roman" w:hAnsi="Times New Roman" w:cs="Times New Roman"/>
          <w:sz w:val="24"/>
          <w:szCs w:val="24"/>
          <w:lang w:val="en-US"/>
        </w:rPr>
      </w:pPr>
      <w:r w:rsidRPr="00E449CF">
        <w:rPr>
          <w:rFonts w:ascii="Times New Roman" w:eastAsia="Times New Roman" w:hAnsi="Times New Roman" w:cs="Times New Roman"/>
          <w:sz w:val="24"/>
          <w:szCs w:val="24"/>
          <w:lang w:val="en-US"/>
        </w:rPr>
        <w:t>4. Industrial IoT Companies [</w:t>
      </w:r>
      <w:r>
        <w:rPr>
          <w:rFonts w:ascii="Times New Roman" w:eastAsia="Times New Roman" w:hAnsi="Times New Roman" w:cs="Times New Roman"/>
          <w:sz w:val="24"/>
          <w:szCs w:val="24"/>
        </w:rPr>
        <w:t>Электронный</w:t>
      </w:r>
      <w:r w:rsidRPr="00E449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ресурс</w:t>
      </w:r>
      <w:r w:rsidRPr="00E449CF">
        <w:rPr>
          <w:rFonts w:ascii="Times New Roman" w:eastAsia="Times New Roman" w:hAnsi="Times New Roman" w:cs="Times New Roman"/>
          <w:sz w:val="24"/>
          <w:szCs w:val="24"/>
          <w:lang w:val="en-US"/>
        </w:rPr>
        <w:t xml:space="preserve">] // Pratiti Technologies. – URL: </w:t>
      </w:r>
      <w:hyperlink r:id="rId9">
        <w:r w:rsidRPr="00E449CF">
          <w:rPr>
            <w:rFonts w:ascii="Times New Roman" w:eastAsia="Times New Roman" w:hAnsi="Times New Roman" w:cs="Times New Roman"/>
            <w:color w:val="1155CC"/>
            <w:sz w:val="24"/>
            <w:szCs w:val="24"/>
            <w:u w:val="single"/>
            <w:lang w:val="en-US"/>
          </w:rPr>
          <w:t>https://pratititech.com/our-approach/digital-accelerators/industrial-iot-companies/</w:t>
        </w:r>
      </w:hyperlink>
      <w:r w:rsidRPr="00E449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дата</w:t>
      </w:r>
      <w:r w:rsidRPr="00E449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обращения</w:t>
      </w:r>
      <w:r w:rsidRPr="00E449CF">
        <w:rPr>
          <w:rFonts w:ascii="Times New Roman" w:eastAsia="Times New Roman" w:hAnsi="Times New Roman" w:cs="Times New Roman"/>
          <w:sz w:val="24"/>
          <w:szCs w:val="24"/>
          <w:lang w:val="en-US"/>
        </w:rPr>
        <w:t>: 07.03.2026).</w:t>
      </w:r>
    </w:p>
    <w:sectPr w:rsidR="002418EB" w:rsidRPr="00E449CF">
      <w:headerReference w:type="default" r:id="rId10"/>
      <w:pgSz w:w="11909" w:h="16834"/>
      <w:pgMar w:top="1133" w:right="1360" w:bottom="1133" w:left="1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C0285" w14:textId="77777777" w:rsidR="00327AE3" w:rsidRDefault="00327AE3">
      <w:pPr>
        <w:spacing w:line="240" w:lineRule="auto"/>
      </w:pPr>
      <w:r>
        <w:separator/>
      </w:r>
    </w:p>
  </w:endnote>
  <w:endnote w:type="continuationSeparator" w:id="0">
    <w:p w14:paraId="1A3F4662" w14:textId="77777777" w:rsidR="00327AE3" w:rsidRDefault="00327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3E88651-D66B-4F71-B46A-A14F2192B7C6}"/>
  </w:font>
  <w:font w:name="Cambria">
    <w:panose1 w:val="02040503050406030204"/>
    <w:charset w:val="CC"/>
    <w:family w:val="roman"/>
    <w:pitch w:val="variable"/>
    <w:sig w:usb0="E00006FF" w:usb1="420024FF" w:usb2="02000000" w:usb3="00000000" w:csb0="0000019F" w:csb1="00000000"/>
    <w:embedRegular r:id="rId2" w:fontKey="{D0AAE91F-A07D-4B2D-80F2-2EBC5DAE5F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0BA93" w14:textId="77777777" w:rsidR="00327AE3" w:rsidRDefault="00327AE3">
      <w:pPr>
        <w:spacing w:line="240" w:lineRule="auto"/>
      </w:pPr>
      <w:r>
        <w:separator/>
      </w:r>
    </w:p>
  </w:footnote>
  <w:footnote w:type="continuationSeparator" w:id="0">
    <w:p w14:paraId="78D17D93" w14:textId="77777777" w:rsidR="00327AE3" w:rsidRDefault="00327A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777777" w:rsidR="002418EB" w:rsidRDefault="002418E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8EB"/>
    <w:rsid w:val="002418EB"/>
    <w:rsid w:val="00327AE3"/>
    <w:rsid w:val="006671AB"/>
    <w:rsid w:val="00E44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17A84-4041-4296-9C6A-2C40D41E2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B86173"/>
    <w:rPr>
      <w:sz w:val="16"/>
      <w:szCs w:val="16"/>
    </w:rPr>
  </w:style>
  <w:style w:type="paragraph" w:styleId="CommentText">
    <w:name w:val="annotation text"/>
    <w:basedOn w:val="Normal"/>
    <w:link w:val="CommentTextChar"/>
    <w:uiPriority w:val="99"/>
    <w:semiHidden/>
    <w:unhideWhenUsed/>
    <w:rsid w:val="00B86173"/>
    <w:pPr>
      <w:spacing w:line="240" w:lineRule="auto"/>
    </w:pPr>
    <w:rPr>
      <w:sz w:val="20"/>
      <w:szCs w:val="20"/>
    </w:rPr>
  </w:style>
  <w:style w:type="character" w:customStyle="1" w:styleId="CommentTextChar">
    <w:name w:val="Comment Text Char"/>
    <w:basedOn w:val="DefaultParagraphFont"/>
    <w:link w:val="CommentText"/>
    <w:uiPriority w:val="99"/>
    <w:semiHidden/>
    <w:rsid w:val="00B86173"/>
    <w:rPr>
      <w:sz w:val="20"/>
      <w:szCs w:val="20"/>
    </w:rPr>
  </w:style>
  <w:style w:type="paragraph" w:styleId="CommentSubject">
    <w:name w:val="annotation subject"/>
    <w:basedOn w:val="CommentText"/>
    <w:next w:val="CommentText"/>
    <w:link w:val="CommentSubjectChar"/>
    <w:uiPriority w:val="99"/>
    <w:semiHidden/>
    <w:unhideWhenUsed/>
    <w:rsid w:val="00B86173"/>
    <w:rPr>
      <w:b/>
      <w:bCs/>
    </w:rPr>
  </w:style>
  <w:style w:type="character" w:customStyle="1" w:styleId="CommentSubjectChar">
    <w:name w:val="Comment Subject Char"/>
    <w:basedOn w:val="CommentTextChar"/>
    <w:link w:val="CommentSubject"/>
    <w:uiPriority w:val="99"/>
    <w:semiHidden/>
    <w:rsid w:val="00B86173"/>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werledger.io/clients/calcutta-electricity-supply-corporation-isgf-india/" TargetMode="External"/><Relationship Id="rId3" Type="http://schemas.openxmlformats.org/officeDocument/2006/relationships/settings" Target="settings.xml"/><Relationship Id="rId7" Type="http://schemas.openxmlformats.org/officeDocument/2006/relationships/hyperlink" Target="mailto:in.zhurova@yandex.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ratititech.com/our-approach/digital-accelerators/industrial-iot-compani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tmGeDU7ahfS5upNSfI6kBXGnIA==">CgMxLjA4AHIhMUpRNzhYd243cGJMSFhxU0xDLXg4X2MtbE40OTRWakJo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1119</Words>
  <Characters>6379</Characters>
  <Application>Microsoft Office Word</Application>
  <DocSecurity>0</DocSecurity>
  <Lines>53</Lines>
  <Paragraphs>14</Paragraphs>
  <ScaleCrop>false</ScaleCrop>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Дмитрий Карпенко</cp:lastModifiedBy>
  <cp:revision>2</cp:revision>
  <dcterms:created xsi:type="dcterms:W3CDTF">2026-03-09T08:59:00Z</dcterms:created>
  <dcterms:modified xsi:type="dcterms:W3CDTF">2026-03-09T19:41:00Z</dcterms:modified>
</cp:coreProperties>
</file>