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6C6A" w14:textId="36F470DC" w:rsidR="00552984" w:rsidRPr="00D71AF3" w:rsidRDefault="00E829C7" w:rsidP="008224ED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71AF3">
        <w:rPr>
          <w:b/>
          <w:bCs/>
          <w:sz w:val="24"/>
          <w:szCs w:val="24"/>
        </w:rPr>
        <w:t>Рынок искусства после 2020 г.: стратегии аукционных домов и изменение предпочтений</w:t>
      </w:r>
      <w:r w:rsidR="00F76DD1" w:rsidRPr="00D71AF3">
        <w:rPr>
          <w:b/>
          <w:bCs/>
          <w:sz w:val="24"/>
          <w:szCs w:val="24"/>
        </w:rPr>
        <w:t xml:space="preserve"> покупателей</w:t>
      </w:r>
    </w:p>
    <w:p w14:paraId="3E73456C" w14:textId="77777777" w:rsidR="00F75187" w:rsidRPr="00D71AF3" w:rsidRDefault="00F75187" w:rsidP="008224ED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14:paraId="57D243FF" w14:textId="658897FC" w:rsidR="00F75187" w:rsidRPr="00D71AF3" w:rsidRDefault="00DF0999" w:rsidP="002F658C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 xml:space="preserve">Второе десятилетие </w:t>
      </w:r>
      <w:r w:rsidRPr="00D71AF3">
        <w:rPr>
          <w:sz w:val="24"/>
          <w:szCs w:val="24"/>
          <w:lang w:val="en-US"/>
        </w:rPr>
        <w:t>XXI</w:t>
      </w:r>
      <w:r w:rsidRPr="00D71AF3">
        <w:rPr>
          <w:sz w:val="24"/>
          <w:szCs w:val="24"/>
        </w:rPr>
        <w:t xml:space="preserve"> века положило начало </w:t>
      </w:r>
      <w:r w:rsidR="00292685" w:rsidRPr="00D71AF3">
        <w:rPr>
          <w:sz w:val="24"/>
          <w:szCs w:val="24"/>
        </w:rPr>
        <w:t>период</w:t>
      </w:r>
      <w:r w:rsidR="00D71AF3">
        <w:rPr>
          <w:sz w:val="24"/>
          <w:szCs w:val="24"/>
        </w:rPr>
        <w:t>у</w:t>
      </w:r>
      <w:r w:rsidRPr="00D71AF3">
        <w:rPr>
          <w:sz w:val="24"/>
          <w:szCs w:val="24"/>
        </w:rPr>
        <w:t xml:space="preserve"> лидерства </w:t>
      </w:r>
      <w:r w:rsidR="00F75187" w:rsidRPr="00D71AF3">
        <w:rPr>
          <w:sz w:val="24"/>
          <w:szCs w:val="24"/>
        </w:rPr>
        <w:t>КНР</w:t>
      </w:r>
      <w:r w:rsidRPr="00D71AF3">
        <w:rPr>
          <w:sz w:val="24"/>
          <w:szCs w:val="24"/>
        </w:rPr>
        <w:t xml:space="preserve"> на мировом аукционном рынке</w:t>
      </w:r>
      <w:r w:rsidR="00956745" w:rsidRPr="00D71AF3">
        <w:rPr>
          <w:sz w:val="24"/>
          <w:szCs w:val="24"/>
        </w:rPr>
        <w:t xml:space="preserve"> искусства</w:t>
      </w:r>
      <w:r w:rsidRPr="00D71AF3">
        <w:rPr>
          <w:sz w:val="24"/>
          <w:szCs w:val="24"/>
        </w:rPr>
        <w:t xml:space="preserve">. </w:t>
      </w:r>
      <w:r w:rsidR="00956745" w:rsidRPr="00D71AF3">
        <w:rPr>
          <w:sz w:val="24"/>
          <w:szCs w:val="24"/>
        </w:rPr>
        <w:t>Промежуток между 2012 г. и наиболее о</w:t>
      </w:r>
      <w:r w:rsidR="00D71AF3">
        <w:rPr>
          <w:sz w:val="24"/>
          <w:szCs w:val="24"/>
        </w:rPr>
        <w:t>с</w:t>
      </w:r>
      <w:r w:rsidR="00956745" w:rsidRPr="00D71AF3">
        <w:rPr>
          <w:sz w:val="24"/>
          <w:szCs w:val="24"/>
        </w:rPr>
        <w:t>трой фаз</w:t>
      </w:r>
      <w:r w:rsidR="00D71AF3">
        <w:rPr>
          <w:sz w:val="24"/>
          <w:szCs w:val="24"/>
        </w:rPr>
        <w:t>ой</w:t>
      </w:r>
      <w:r w:rsidR="00956745" w:rsidRPr="00D71AF3">
        <w:rPr>
          <w:sz w:val="24"/>
          <w:szCs w:val="24"/>
        </w:rPr>
        <w:t xml:space="preserve"> пандемии </w:t>
      </w:r>
      <w:r w:rsidR="00956745" w:rsidRPr="00D71AF3">
        <w:rPr>
          <w:sz w:val="24"/>
          <w:szCs w:val="24"/>
          <w:lang w:val="en-US"/>
        </w:rPr>
        <w:t>COVID</w:t>
      </w:r>
      <w:r w:rsidR="00956745" w:rsidRPr="00D71AF3">
        <w:rPr>
          <w:sz w:val="24"/>
          <w:szCs w:val="24"/>
        </w:rPr>
        <w:t>-19</w:t>
      </w:r>
      <w:r w:rsidRPr="00D71AF3">
        <w:rPr>
          <w:sz w:val="24"/>
          <w:szCs w:val="24"/>
        </w:rPr>
        <w:t xml:space="preserve"> </w:t>
      </w:r>
      <w:r w:rsidR="00956745" w:rsidRPr="00D71AF3">
        <w:rPr>
          <w:sz w:val="24"/>
          <w:szCs w:val="24"/>
        </w:rPr>
        <w:t xml:space="preserve">в 2020 г. характеризовался </w:t>
      </w:r>
      <w:r w:rsidR="00E151C5">
        <w:rPr>
          <w:sz w:val="24"/>
          <w:szCs w:val="24"/>
        </w:rPr>
        <w:t>устойчивым</w:t>
      </w:r>
      <w:r w:rsidR="00956745" w:rsidRPr="00D71AF3">
        <w:rPr>
          <w:sz w:val="24"/>
          <w:szCs w:val="24"/>
        </w:rPr>
        <w:t xml:space="preserve"> ростом общемирового объёма продаж произведений искусства, со стабильн</w:t>
      </w:r>
      <w:r w:rsidR="007E2DDF" w:rsidRPr="00D71AF3">
        <w:rPr>
          <w:sz w:val="24"/>
          <w:szCs w:val="24"/>
        </w:rPr>
        <w:t>ой</w:t>
      </w:r>
      <w:r w:rsidR="00956745" w:rsidRPr="00D71AF3">
        <w:rPr>
          <w:sz w:val="24"/>
          <w:szCs w:val="24"/>
        </w:rPr>
        <w:t xml:space="preserve"> </w:t>
      </w:r>
      <w:r w:rsidR="007E2DDF" w:rsidRPr="00D71AF3">
        <w:rPr>
          <w:sz w:val="24"/>
          <w:szCs w:val="24"/>
        </w:rPr>
        <w:t>группой</w:t>
      </w:r>
      <w:r w:rsidR="00956745" w:rsidRPr="00D71AF3">
        <w:rPr>
          <w:sz w:val="24"/>
          <w:szCs w:val="24"/>
        </w:rPr>
        <w:t xml:space="preserve"> лидеров — КНР</w:t>
      </w:r>
      <w:r w:rsidR="00E151C5">
        <w:rPr>
          <w:sz w:val="24"/>
          <w:szCs w:val="24"/>
        </w:rPr>
        <w:t>,</w:t>
      </w:r>
      <w:r w:rsidR="0013698A">
        <w:rPr>
          <w:sz w:val="24"/>
          <w:szCs w:val="24"/>
        </w:rPr>
        <w:t xml:space="preserve"> занимавшей первое место в мире по объёму продаж до 2022 г.</w:t>
      </w:r>
      <w:r w:rsidR="00956745" w:rsidRPr="00D71AF3">
        <w:rPr>
          <w:sz w:val="24"/>
          <w:szCs w:val="24"/>
        </w:rPr>
        <w:t>, США</w:t>
      </w:r>
      <w:r w:rsidR="0013698A">
        <w:rPr>
          <w:sz w:val="24"/>
          <w:szCs w:val="24"/>
        </w:rPr>
        <w:t xml:space="preserve"> </w:t>
      </w:r>
      <w:r w:rsidR="00956745" w:rsidRPr="00D71AF3">
        <w:rPr>
          <w:sz w:val="24"/>
          <w:szCs w:val="24"/>
        </w:rPr>
        <w:t>и Великобритани</w:t>
      </w:r>
      <w:r w:rsidR="00006300">
        <w:rPr>
          <w:sz w:val="24"/>
          <w:szCs w:val="24"/>
        </w:rPr>
        <w:t>ей</w:t>
      </w:r>
      <w:r w:rsidR="00D71AF3">
        <w:rPr>
          <w:sz w:val="24"/>
          <w:szCs w:val="24"/>
        </w:rPr>
        <w:t xml:space="preserve"> на </w:t>
      </w:r>
      <w:r w:rsidR="0013698A">
        <w:rPr>
          <w:sz w:val="24"/>
          <w:szCs w:val="24"/>
        </w:rPr>
        <w:t>второй и третьей</w:t>
      </w:r>
      <w:r w:rsidR="00D71AF3">
        <w:rPr>
          <w:sz w:val="24"/>
          <w:szCs w:val="24"/>
        </w:rPr>
        <w:t xml:space="preserve"> позиции</w:t>
      </w:r>
      <w:r w:rsidR="0013698A">
        <w:rPr>
          <w:sz w:val="24"/>
          <w:szCs w:val="24"/>
        </w:rPr>
        <w:t>, соответственно</w:t>
      </w:r>
      <w:r w:rsidR="00956745" w:rsidRPr="00D71AF3">
        <w:rPr>
          <w:sz w:val="24"/>
          <w:szCs w:val="24"/>
        </w:rPr>
        <w:t xml:space="preserve">. </w:t>
      </w:r>
      <w:r w:rsidR="002F658C" w:rsidRPr="00D71AF3">
        <w:rPr>
          <w:sz w:val="24"/>
          <w:szCs w:val="24"/>
        </w:rPr>
        <w:t xml:space="preserve">2020 г. стал точкой бифуркации на аукционном рынке. </w:t>
      </w:r>
      <w:r w:rsidR="002F658C" w:rsidRPr="00D71AF3">
        <w:rPr>
          <w:rFonts w:cs="Times New Roman"/>
          <w:sz w:val="24"/>
          <w:szCs w:val="24"/>
          <w:shd w:val="clear" w:color="auto" w:fill="FFFFFF"/>
        </w:rPr>
        <w:t xml:space="preserve">Зависимый от геополитической обстановки, торгово-экономической ситуации и предпочтений потребителей, мировой арт-рынок с 2021 г. показывает спад, в 2024 г. общий объём продаж на рынке упал на 27,3% в годовом исчислении </w:t>
      </w:r>
      <w:r w:rsidR="002F658C" w:rsidRPr="00D71AF3">
        <w:rPr>
          <w:rFonts w:eastAsia="Times New Roman" w:cs="Times New Roman"/>
          <w:sz w:val="24"/>
          <w:szCs w:val="24"/>
        </w:rPr>
        <w:t>[</w:t>
      </w:r>
      <w:r w:rsidR="00390760">
        <w:rPr>
          <w:rFonts w:eastAsia="Times New Roman" w:cs="Times New Roman"/>
          <w:sz w:val="24"/>
          <w:szCs w:val="24"/>
        </w:rPr>
        <w:t>2</w:t>
      </w:r>
      <w:r w:rsidR="002F658C" w:rsidRPr="00D71AF3">
        <w:rPr>
          <w:rFonts w:eastAsia="Times New Roman" w:cs="Times New Roman"/>
          <w:sz w:val="24"/>
          <w:szCs w:val="24"/>
        </w:rPr>
        <w:t>]</w:t>
      </w:r>
      <w:r w:rsidR="002F658C" w:rsidRPr="00D71AF3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F75187" w:rsidRPr="00D71AF3">
        <w:rPr>
          <w:sz w:val="24"/>
          <w:szCs w:val="24"/>
        </w:rPr>
        <w:t>При этом в 2024 г. КНР по доле от общемирового объёма продаж произведений искусства сместился на 3 место (15%), уступая Великобритании (18%) и США (43%).</w:t>
      </w:r>
    </w:p>
    <w:p w14:paraId="2C3CFC47" w14:textId="76E69BE9" w:rsidR="00F62087" w:rsidRPr="00D71AF3" w:rsidRDefault="00F75187" w:rsidP="00F75187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 xml:space="preserve">Таким образом, тенденции, которые происходят внутри рынка с 2021 г., являются ключевыми в формировании облика арт-рынка на настоящем этапе его развития. 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>Основным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 фактором, который определяет динамику арт-рынка, явля</w:t>
      </w:r>
      <w:r w:rsidR="00006300">
        <w:rPr>
          <w:rFonts w:cs="Times New Roman"/>
          <w:sz w:val="24"/>
          <w:szCs w:val="24"/>
          <w:shd w:val="clear" w:color="auto" w:fill="FFFFFF"/>
        </w:rPr>
        <w:t>е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тся </w:t>
      </w:r>
      <w:r w:rsidR="00700FFB">
        <w:rPr>
          <w:rFonts w:cs="Times New Roman"/>
          <w:sz w:val="24"/>
          <w:szCs w:val="24"/>
          <w:shd w:val="clear" w:color="auto" w:fill="FFFFFF"/>
        </w:rPr>
        <w:t>изменение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D71AF3">
        <w:rPr>
          <w:rFonts w:cs="Times New Roman"/>
          <w:sz w:val="24"/>
          <w:szCs w:val="24"/>
          <w:shd w:val="clear" w:color="auto" w:fill="FFFFFF"/>
        </w:rPr>
        <w:t>предпочтен</w:t>
      </w:r>
      <w:r w:rsidR="00006300">
        <w:rPr>
          <w:rFonts w:cs="Times New Roman"/>
          <w:sz w:val="24"/>
          <w:szCs w:val="24"/>
          <w:shd w:val="clear" w:color="auto" w:fill="FFFFFF"/>
        </w:rPr>
        <w:t>и</w:t>
      </w:r>
      <w:r w:rsidR="00700FFB">
        <w:rPr>
          <w:rFonts w:cs="Times New Roman"/>
          <w:sz w:val="24"/>
          <w:szCs w:val="24"/>
          <w:shd w:val="clear" w:color="auto" w:fill="FFFFFF"/>
        </w:rPr>
        <w:t>й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D71AF3">
        <w:rPr>
          <w:sz w:val="24"/>
          <w:szCs w:val="24"/>
        </w:rPr>
        <w:t>потребителей. По прогнозам консалтинговой компании «</w:t>
      </w:r>
      <w:r w:rsidRPr="00D71AF3">
        <w:rPr>
          <w:sz w:val="24"/>
          <w:szCs w:val="24"/>
          <w:lang w:val="en-US"/>
        </w:rPr>
        <w:t>Cerulli</w:t>
      </w:r>
      <w:r w:rsidRPr="00D71AF3">
        <w:rPr>
          <w:sz w:val="24"/>
          <w:szCs w:val="24"/>
        </w:rPr>
        <w:t xml:space="preserve"> </w:t>
      </w:r>
      <w:r w:rsidRPr="00D71AF3">
        <w:rPr>
          <w:sz w:val="24"/>
          <w:szCs w:val="24"/>
          <w:lang w:val="en-US"/>
        </w:rPr>
        <w:t>Associates</w:t>
      </w:r>
      <w:r w:rsidRPr="00D71AF3">
        <w:rPr>
          <w:sz w:val="24"/>
          <w:szCs w:val="24"/>
        </w:rPr>
        <w:t xml:space="preserve">», в </w:t>
      </w:r>
      <w:r w:rsidRPr="00D71AF3">
        <w:rPr>
          <w:rFonts w:cs="Times New Roman"/>
          <w:sz w:val="24"/>
          <w:szCs w:val="24"/>
          <w:shd w:val="clear" w:color="auto" w:fill="FFFFFF"/>
        </w:rPr>
        <w:t>течение 20 лет произойдёт переход активов новым поколениям на сумму 85</w:t>
      </w:r>
      <w:r w:rsidR="00700FFB">
        <w:rPr>
          <w:rFonts w:cs="Times New Roman"/>
          <w:sz w:val="24"/>
          <w:szCs w:val="24"/>
          <w:shd w:val="clear" w:color="auto" w:fill="FFFFFF"/>
        </w:rPr>
        <w:t> </w:t>
      </w:r>
      <w:r w:rsidRPr="00D71AF3">
        <w:rPr>
          <w:rFonts w:cs="Times New Roman"/>
          <w:sz w:val="24"/>
          <w:szCs w:val="24"/>
          <w:shd w:val="clear" w:color="auto" w:fill="FFFFFF"/>
        </w:rPr>
        <w:t>трлн</w:t>
      </w:r>
      <w:r w:rsidR="00700FFB">
        <w:rPr>
          <w:rFonts w:cs="Times New Roman"/>
          <w:sz w:val="24"/>
          <w:szCs w:val="24"/>
          <w:shd w:val="clear" w:color="auto" w:fill="FFFFFF"/>
        </w:rPr>
        <w:t> </w:t>
      </w:r>
      <w:r w:rsidRPr="00D71AF3">
        <w:rPr>
          <w:rFonts w:cs="Times New Roman"/>
          <w:sz w:val="24"/>
          <w:szCs w:val="24"/>
          <w:shd w:val="clear" w:color="auto" w:fill="FFFFFF"/>
        </w:rPr>
        <w:t>USD</w:t>
      </w:r>
      <w:r w:rsidR="00700FFB">
        <w:rPr>
          <w:rFonts w:cs="Times New Roman"/>
          <w:sz w:val="24"/>
          <w:szCs w:val="24"/>
          <w:shd w:val="clear" w:color="auto" w:fill="FFFFFF"/>
        </w:rPr>
        <w:t> </w:t>
      </w:r>
      <w:r w:rsidRPr="00D71AF3">
        <w:rPr>
          <w:rFonts w:cs="Times New Roman"/>
          <w:sz w:val="24"/>
          <w:szCs w:val="24"/>
          <w:shd w:val="clear" w:color="auto" w:fill="FFFFFF"/>
        </w:rPr>
        <w:t>[</w:t>
      </w:r>
      <w:r w:rsidR="00390760">
        <w:rPr>
          <w:rFonts w:cs="Times New Roman"/>
          <w:sz w:val="24"/>
          <w:szCs w:val="24"/>
          <w:shd w:val="clear" w:color="auto" w:fill="FFFFFF"/>
        </w:rPr>
        <w:t>1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]. 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>На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 этом фоне 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 xml:space="preserve">изменение </w:t>
      </w:r>
      <w:r w:rsidR="00700FFB">
        <w:rPr>
          <w:rFonts w:cs="Times New Roman"/>
          <w:sz w:val="24"/>
          <w:szCs w:val="24"/>
          <w:shd w:val="clear" w:color="auto" w:fill="FFFFFF"/>
        </w:rPr>
        <w:t>предпочтений покупателей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 xml:space="preserve"> приводит к более активным сдвигам</w:t>
      </w:r>
      <w:r w:rsidRPr="00D71AF3">
        <w:rPr>
          <w:rFonts w:cs="Times New Roman"/>
          <w:sz w:val="24"/>
          <w:szCs w:val="24"/>
          <w:shd w:val="clear" w:color="auto" w:fill="FFFFFF"/>
        </w:rPr>
        <w:t xml:space="preserve"> в структуре торгов</w:t>
      </w:r>
      <w:r w:rsidR="00292685" w:rsidRPr="00D71AF3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D71AF3">
        <w:rPr>
          <w:sz w:val="24"/>
          <w:szCs w:val="24"/>
        </w:rPr>
        <w:t xml:space="preserve">— </w:t>
      </w:r>
      <w:r w:rsidR="0013698A">
        <w:rPr>
          <w:sz w:val="24"/>
          <w:szCs w:val="24"/>
        </w:rPr>
        <w:t>повышению средней стоимости лота в одних категориях торгов</w:t>
      </w:r>
      <w:r w:rsidRPr="00D71AF3">
        <w:rPr>
          <w:sz w:val="24"/>
          <w:szCs w:val="24"/>
        </w:rPr>
        <w:t xml:space="preserve"> </w:t>
      </w:r>
      <w:r w:rsidR="0013698A">
        <w:rPr>
          <w:sz w:val="24"/>
          <w:szCs w:val="24"/>
        </w:rPr>
        <w:t>при обратной динамике для других</w:t>
      </w:r>
      <w:r w:rsidRPr="00D71AF3">
        <w:rPr>
          <w:sz w:val="24"/>
          <w:szCs w:val="24"/>
        </w:rPr>
        <w:t>.</w:t>
      </w:r>
    </w:p>
    <w:p w14:paraId="5348A3C0" w14:textId="53A08C7B" w:rsidR="00F75187" w:rsidRPr="00D71AF3" w:rsidRDefault="00F75187" w:rsidP="00F75187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>Исследовани</w:t>
      </w:r>
      <w:r w:rsidR="00700FFB">
        <w:rPr>
          <w:sz w:val="24"/>
          <w:szCs w:val="24"/>
        </w:rPr>
        <w:t>е</w:t>
      </w:r>
      <w:r w:rsidRPr="00D71AF3">
        <w:rPr>
          <w:sz w:val="24"/>
          <w:szCs w:val="24"/>
        </w:rPr>
        <w:t xml:space="preserve"> </w:t>
      </w:r>
      <w:r w:rsidR="00F62087" w:rsidRPr="00D71AF3">
        <w:rPr>
          <w:sz w:val="24"/>
          <w:szCs w:val="24"/>
        </w:rPr>
        <w:t xml:space="preserve">продаж </w:t>
      </w:r>
      <w:r w:rsidR="00A402D1" w:rsidRPr="00D71AF3">
        <w:rPr>
          <w:sz w:val="24"/>
          <w:szCs w:val="24"/>
        </w:rPr>
        <w:t>лидеров аукционной сферы</w:t>
      </w:r>
      <w:r w:rsidR="00F62087" w:rsidRPr="00D71AF3">
        <w:rPr>
          <w:sz w:val="24"/>
          <w:szCs w:val="24"/>
        </w:rPr>
        <w:t xml:space="preserve"> «</w:t>
      </w:r>
      <w:r w:rsidR="00F62087" w:rsidRPr="00D71AF3">
        <w:rPr>
          <w:sz w:val="24"/>
          <w:szCs w:val="24"/>
          <w:lang w:val="en-US"/>
        </w:rPr>
        <w:t>Christie</w:t>
      </w:r>
      <w:r w:rsidR="00F62087" w:rsidRPr="00D71AF3">
        <w:rPr>
          <w:sz w:val="24"/>
          <w:szCs w:val="24"/>
        </w:rPr>
        <w:t>’</w:t>
      </w:r>
      <w:r w:rsidR="00F62087" w:rsidRPr="00D71AF3">
        <w:rPr>
          <w:sz w:val="24"/>
          <w:szCs w:val="24"/>
          <w:lang w:val="en-US"/>
        </w:rPr>
        <w:t>s</w:t>
      </w:r>
      <w:r w:rsidR="00F62087" w:rsidRPr="00D71AF3">
        <w:rPr>
          <w:sz w:val="24"/>
          <w:szCs w:val="24"/>
        </w:rPr>
        <w:t>» (Великобритания), «</w:t>
      </w:r>
      <w:r w:rsidR="00F62087" w:rsidRPr="00D71AF3">
        <w:rPr>
          <w:sz w:val="24"/>
          <w:szCs w:val="24"/>
          <w:lang w:val="en-US"/>
        </w:rPr>
        <w:t>Sotheby</w:t>
      </w:r>
      <w:r w:rsidR="00F62087" w:rsidRPr="00D71AF3">
        <w:rPr>
          <w:sz w:val="24"/>
          <w:szCs w:val="24"/>
        </w:rPr>
        <w:t>’</w:t>
      </w:r>
      <w:r w:rsidR="00F62087" w:rsidRPr="00D71AF3">
        <w:rPr>
          <w:sz w:val="24"/>
          <w:szCs w:val="24"/>
          <w:lang w:val="en-US"/>
        </w:rPr>
        <w:t>s</w:t>
      </w:r>
      <w:r w:rsidR="00F62087" w:rsidRPr="00D71AF3">
        <w:rPr>
          <w:sz w:val="24"/>
          <w:szCs w:val="24"/>
        </w:rPr>
        <w:t>» (США), «China Guardian» и «</w:t>
      </w:r>
      <w:r w:rsidR="00F62087" w:rsidRPr="006347C0">
        <w:rPr>
          <w:sz w:val="24"/>
          <w:szCs w:val="24"/>
          <w:lang w:val="en-US"/>
        </w:rPr>
        <w:t>Poly</w:t>
      </w:r>
      <w:r w:rsidR="00F62087" w:rsidRPr="008F36A2">
        <w:rPr>
          <w:sz w:val="24"/>
          <w:szCs w:val="24"/>
        </w:rPr>
        <w:t xml:space="preserve"> </w:t>
      </w:r>
      <w:r w:rsidR="00F62087" w:rsidRPr="006347C0">
        <w:rPr>
          <w:sz w:val="24"/>
          <w:szCs w:val="24"/>
          <w:lang w:val="en-US"/>
        </w:rPr>
        <w:t>Auction</w:t>
      </w:r>
      <w:r w:rsidR="00F62087" w:rsidRPr="00D71AF3">
        <w:rPr>
          <w:sz w:val="24"/>
          <w:szCs w:val="24"/>
        </w:rPr>
        <w:t xml:space="preserve">» (КНР) показывает, что рынок искусства разнороден. Дома используют разные стратегии </w:t>
      </w:r>
      <w:r w:rsidR="00E7612E">
        <w:rPr>
          <w:sz w:val="24"/>
          <w:szCs w:val="24"/>
        </w:rPr>
        <w:t>ведения деятельности в зависимости от площадки</w:t>
      </w:r>
      <w:r w:rsidR="00F62087" w:rsidRPr="00D71AF3">
        <w:rPr>
          <w:sz w:val="24"/>
          <w:szCs w:val="24"/>
        </w:rPr>
        <w:t xml:space="preserve">, </w:t>
      </w:r>
      <w:r w:rsidR="00E7612E">
        <w:rPr>
          <w:sz w:val="24"/>
          <w:szCs w:val="24"/>
        </w:rPr>
        <w:t xml:space="preserve">при этом перечисленные участники </w:t>
      </w:r>
      <w:r w:rsidR="00F62087" w:rsidRPr="00D71AF3">
        <w:rPr>
          <w:sz w:val="24"/>
          <w:szCs w:val="24"/>
        </w:rPr>
        <w:t xml:space="preserve">имеют </w:t>
      </w:r>
      <w:r w:rsidR="002E7508">
        <w:rPr>
          <w:sz w:val="24"/>
          <w:szCs w:val="24"/>
        </w:rPr>
        <w:t>отличную друг от друга специализацию</w:t>
      </w:r>
      <w:r w:rsidR="00DA6E9C">
        <w:rPr>
          <w:sz w:val="24"/>
          <w:szCs w:val="24"/>
        </w:rPr>
        <w:t>.</w:t>
      </w:r>
      <w:r w:rsidR="00F62087" w:rsidRPr="00D71AF3">
        <w:rPr>
          <w:sz w:val="24"/>
          <w:szCs w:val="24"/>
        </w:rPr>
        <w:t xml:space="preserve"> Поэтому </w:t>
      </w:r>
      <w:r w:rsidR="00AA7AD5" w:rsidRPr="00D71AF3">
        <w:rPr>
          <w:sz w:val="24"/>
          <w:szCs w:val="24"/>
        </w:rPr>
        <w:t xml:space="preserve">термин </w:t>
      </w:r>
      <w:r w:rsidR="004B4783" w:rsidRPr="00D71AF3">
        <w:rPr>
          <w:sz w:val="24"/>
          <w:szCs w:val="24"/>
        </w:rPr>
        <w:t>«</w:t>
      </w:r>
      <w:r w:rsidR="00F62087" w:rsidRPr="00D71AF3">
        <w:rPr>
          <w:sz w:val="24"/>
          <w:szCs w:val="24"/>
        </w:rPr>
        <w:t>мирово</w:t>
      </w:r>
      <w:r w:rsidR="004B4783" w:rsidRPr="00D71AF3">
        <w:rPr>
          <w:sz w:val="24"/>
          <w:szCs w:val="24"/>
        </w:rPr>
        <w:t>й</w:t>
      </w:r>
      <w:r w:rsidR="00F62087" w:rsidRPr="00D71AF3">
        <w:rPr>
          <w:sz w:val="24"/>
          <w:szCs w:val="24"/>
        </w:rPr>
        <w:t xml:space="preserve"> рын</w:t>
      </w:r>
      <w:r w:rsidR="004B4783" w:rsidRPr="00D71AF3">
        <w:rPr>
          <w:sz w:val="24"/>
          <w:szCs w:val="24"/>
        </w:rPr>
        <w:t>ок</w:t>
      </w:r>
      <w:r w:rsidR="00F62087" w:rsidRPr="00D71AF3">
        <w:rPr>
          <w:sz w:val="24"/>
          <w:szCs w:val="24"/>
        </w:rPr>
        <w:t xml:space="preserve"> искусства</w:t>
      </w:r>
      <w:r w:rsidR="00AA7AD5" w:rsidRPr="00D71AF3">
        <w:rPr>
          <w:sz w:val="24"/>
          <w:szCs w:val="24"/>
        </w:rPr>
        <w:t>»</w:t>
      </w:r>
      <w:r w:rsidR="00F62087" w:rsidRPr="00D71AF3">
        <w:rPr>
          <w:sz w:val="24"/>
          <w:szCs w:val="24"/>
        </w:rPr>
        <w:t xml:space="preserve"> </w:t>
      </w:r>
      <w:r w:rsidR="004B4783" w:rsidRPr="00D71AF3">
        <w:rPr>
          <w:sz w:val="24"/>
          <w:szCs w:val="24"/>
        </w:rPr>
        <w:t xml:space="preserve">наиболее уместен </w:t>
      </w:r>
      <w:r w:rsidR="00AA7AD5" w:rsidRPr="00D71AF3">
        <w:rPr>
          <w:sz w:val="24"/>
          <w:szCs w:val="24"/>
        </w:rPr>
        <w:t>при</w:t>
      </w:r>
      <w:r w:rsidR="004B4783" w:rsidRPr="00D71AF3">
        <w:rPr>
          <w:sz w:val="24"/>
          <w:szCs w:val="24"/>
        </w:rPr>
        <w:t xml:space="preserve"> описани</w:t>
      </w:r>
      <w:r w:rsidR="00AA7AD5" w:rsidRPr="00D71AF3">
        <w:rPr>
          <w:sz w:val="24"/>
          <w:szCs w:val="24"/>
        </w:rPr>
        <w:t>и</w:t>
      </w:r>
      <w:r w:rsidR="004B4783" w:rsidRPr="00D71AF3">
        <w:rPr>
          <w:sz w:val="24"/>
          <w:szCs w:val="24"/>
        </w:rPr>
        <w:t xml:space="preserve"> общих показателей</w:t>
      </w:r>
      <w:r w:rsidR="00A402D1" w:rsidRPr="00D71AF3">
        <w:rPr>
          <w:sz w:val="24"/>
          <w:szCs w:val="24"/>
        </w:rPr>
        <w:t>,</w:t>
      </w:r>
      <w:r w:rsidR="004B4783" w:rsidRPr="00D71AF3">
        <w:rPr>
          <w:sz w:val="24"/>
          <w:szCs w:val="24"/>
        </w:rPr>
        <w:t xml:space="preserve"> объёма продаж и количеств</w:t>
      </w:r>
      <w:r w:rsidR="00DA6E9C">
        <w:rPr>
          <w:sz w:val="24"/>
          <w:szCs w:val="24"/>
        </w:rPr>
        <w:t>а</w:t>
      </w:r>
      <w:r w:rsidR="004B4783" w:rsidRPr="00D71AF3">
        <w:rPr>
          <w:sz w:val="24"/>
          <w:szCs w:val="24"/>
        </w:rPr>
        <w:t xml:space="preserve"> проданных лотов</w:t>
      </w:r>
      <w:r w:rsidR="00A402D1" w:rsidRPr="00D71AF3">
        <w:rPr>
          <w:sz w:val="24"/>
          <w:szCs w:val="24"/>
        </w:rPr>
        <w:t>, которые</w:t>
      </w:r>
      <w:r w:rsidR="00DA6E9C">
        <w:rPr>
          <w:sz w:val="24"/>
          <w:szCs w:val="24"/>
        </w:rPr>
        <w:t>,</w:t>
      </w:r>
      <w:r w:rsidR="00A402D1" w:rsidRPr="00D71AF3">
        <w:rPr>
          <w:sz w:val="24"/>
          <w:szCs w:val="24"/>
        </w:rPr>
        <w:t xml:space="preserve"> в свою очередь</w:t>
      </w:r>
      <w:r w:rsidR="00DA6E9C">
        <w:rPr>
          <w:sz w:val="24"/>
          <w:szCs w:val="24"/>
        </w:rPr>
        <w:t>,</w:t>
      </w:r>
      <w:r w:rsidR="00A402D1" w:rsidRPr="00D71AF3">
        <w:rPr>
          <w:sz w:val="24"/>
          <w:szCs w:val="24"/>
        </w:rPr>
        <w:t xml:space="preserve"> формируются отдельными единицами. </w:t>
      </w:r>
      <w:r w:rsidR="009E68FF">
        <w:rPr>
          <w:sz w:val="24"/>
          <w:szCs w:val="24"/>
        </w:rPr>
        <w:t>Исходя из этого</w:t>
      </w:r>
      <w:r w:rsidR="008077D9">
        <w:rPr>
          <w:sz w:val="24"/>
          <w:szCs w:val="24"/>
        </w:rPr>
        <w:t>,</w:t>
      </w:r>
      <w:r w:rsidR="009E68FF">
        <w:rPr>
          <w:sz w:val="24"/>
          <w:szCs w:val="24"/>
        </w:rPr>
        <w:t xml:space="preserve"> а</w:t>
      </w:r>
      <w:r w:rsidR="00A402D1" w:rsidRPr="00D71AF3">
        <w:rPr>
          <w:sz w:val="24"/>
          <w:szCs w:val="24"/>
        </w:rPr>
        <w:t>втор исследует продажи аукционных домов в контексте рынка китайского искусства.</w:t>
      </w:r>
    </w:p>
    <w:p w14:paraId="43BC610F" w14:textId="763E6B1F" w:rsidR="00A402D1" w:rsidRPr="00D71AF3" w:rsidRDefault="00A402D1" w:rsidP="00A402D1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 xml:space="preserve">Объём продаж аукционных домов на рынке китайского искусства формируется под действием различных моделей. У «China Guardian» </w:t>
      </w:r>
      <w:r w:rsidR="007E2DDF" w:rsidRPr="00D71AF3">
        <w:rPr>
          <w:sz w:val="24"/>
          <w:szCs w:val="24"/>
        </w:rPr>
        <w:t>около</w:t>
      </w:r>
      <w:r w:rsidRPr="00D71AF3">
        <w:rPr>
          <w:sz w:val="24"/>
          <w:szCs w:val="24"/>
        </w:rPr>
        <w:t xml:space="preserve"> 40% </w:t>
      </w:r>
      <w:r w:rsidR="007E2DDF" w:rsidRPr="00D71AF3">
        <w:rPr>
          <w:sz w:val="24"/>
          <w:szCs w:val="24"/>
        </w:rPr>
        <w:t>динамики объёма продаж объясняется изменением количества лотов</w:t>
      </w:r>
      <w:r w:rsidRPr="00D71AF3">
        <w:rPr>
          <w:sz w:val="24"/>
          <w:szCs w:val="24"/>
        </w:rPr>
        <w:t>, для «</w:t>
      </w:r>
      <w:r w:rsidRPr="00D71AF3">
        <w:rPr>
          <w:sz w:val="24"/>
          <w:szCs w:val="24"/>
          <w:lang w:val="en-US"/>
        </w:rPr>
        <w:t>Christie</w:t>
      </w:r>
      <w:r w:rsidRPr="00D71AF3">
        <w:rPr>
          <w:sz w:val="24"/>
          <w:szCs w:val="24"/>
        </w:rPr>
        <w:t>’</w:t>
      </w:r>
      <w:r w:rsidRPr="00D71AF3">
        <w:rPr>
          <w:sz w:val="24"/>
          <w:szCs w:val="24"/>
          <w:lang w:val="en-US"/>
        </w:rPr>
        <w:t>s</w:t>
      </w:r>
      <w:r w:rsidRPr="00D71AF3">
        <w:rPr>
          <w:sz w:val="24"/>
          <w:szCs w:val="24"/>
        </w:rPr>
        <w:t xml:space="preserve">» регулирование количества лотов является вспомогательным инструментом роста объёма продаж. Ключевыми же факторами являются ценность выставляемого на торги лота, интерес целевой аудитории к той или иной категории китайского искусства. </w:t>
      </w:r>
      <w:r w:rsidR="00835014" w:rsidRPr="00D71AF3">
        <w:rPr>
          <w:sz w:val="24"/>
          <w:szCs w:val="24"/>
        </w:rPr>
        <w:t xml:space="preserve">Незначительная корреляция объёма продаж и количества проданных лотов в случае </w:t>
      </w:r>
      <w:r w:rsidRPr="00D71AF3">
        <w:rPr>
          <w:sz w:val="24"/>
          <w:szCs w:val="24"/>
        </w:rPr>
        <w:t>«</w:t>
      </w:r>
      <w:r w:rsidRPr="00D71AF3">
        <w:rPr>
          <w:sz w:val="24"/>
          <w:szCs w:val="24"/>
          <w:lang w:val="en-US"/>
        </w:rPr>
        <w:t>Sotheby</w:t>
      </w:r>
      <w:r w:rsidRPr="00D71AF3">
        <w:rPr>
          <w:sz w:val="24"/>
          <w:szCs w:val="24"/>
        </w:rPr>
        <w:t>’</w:t>
      </w:r>
      <w:r w:rsidRPr="00D71AF3">
        <w:rPr>
          <w:sz w:val="24"/>
          <w:szCs w:val="24"/>
          <w:lang w:val="en-US"/>
        </w:rPr>
        <w:t>s</w:t>
      </w:r>
      <w:r w:rsidRPr="00D71AF3">
        <w:rPr>
          <w:sz w:val="24"/>
          <w:szCs w:val="24"/>
        </w:rPr>
        <w:t>» и «</w:t>
      </w:r>
      <w:r w:rsidRPr="00D71AF3">
        <w:rPr>
          <w:sz w:val="24"/>
          <w:szCs w:val="24"/>
          <w:lang w:val="en-US"/>
        </w:rPr>
        <w:t>Poly</w:t>
      </w:r>
      <w:r w:rsidRPr="00D71AF3">
        <w:rPr>
          <w:sz w:val="24"/>
          <w:szCs w:val="24"/>
        </w:rPr>
        <w:t xml:space="preserve"> </w:t>
      </w:r>
      <w:r w:rsidRPr="00D71AF3">
        <w:rPr>
          <w:sz w:val="24"/>
          <w:szCs w:val="24"/>
          <w:lang w:val="en-US"/>
        </w:rPr>
        <w:t>Auction</w:t>
      </w:r>
      <w:r w:rsidRPr="00D71AF3">
        <w:rPr>
          <w:sz w:val="24"/>
          <w:szCs w:val="24"/>
        </w:rPr>
        <w:t xml:space="preserve">» </w:t>
      </w:r>
      <w:r w:rsidR="00835014" w:rsidRPr="00D71AF3">
        <w:rPr>
          <w:sz w:val="24"/>
          <w:szCs w:val="24"/>
        </w:rPr>
        <w:t>демонстрируют ориентацию домов на</w:t>
      </w:r>
      <w:r w:rsidRPr="00D71AF3">
        <w:rPr>
          <w:sz w:val="24"/>
          <w:szCs w:val="24"/>
        </w:rPr>
        <w:t xml:space="preserve"> продажи премиум лотов </w:t>
      </w:r>
      <w:r w:rsidR="009E68FF">
        <w:rPr>
          <w:sz w:val="24"/>
          <w:szCs w:val="24"/>
        </w:rPr>
        <w:t xml:space="preserve">при готовности </w:t>
      </w:r>
      <w:r w:rsidRPr="00D71AF3">
        <w:rPr>
          <w:sz w:val="24"/>
          <w:szCs w:val="24"/>
        </w:rPr>
        <w:t>покупателей</w:t>
      </w:r>
      <w:r w:rsidR="009E68FF">
        <w:rPr>
          <w:sz w:val="24"/>
          <w:szCs w:val="24"/>
        </w:rPr>
        <w:t xml:space="preserve"> тратить больше в погоне за интересующими их предметами искусства</w:t>
      </w:r>
      <w:r w:rsidR="00835014" w:rsidRPr="00D71AF3">
        <w:rPr>
          <w:sz w:val="24"/>
          <w:szCs w:val="24"/>
        </w:rPr>
        <w:t>.</w:t>
      </w:r>
    </w:p>
    <w:p w14:paraId="725FC002" w14:textId="4E0658A4" w:rsidR="00835014" w:rsidRPr="00D71AF3" w:rsidRDefault="00AA7AD5" w:rsidP="00A402D1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>Исходя из этого</w:t>
      </w:r>
      <w:r w:rsidR="00DA6E9C">
        <w:rPr>
          <w:sz w:val="24"/>
          <w:szCs w:val="24"/>
        </w:rPr>
        <w:t>,</w:t>
      </w:r>
      <w:r w:rsidRPr="00D71AF3">
        <w:rPr>
          <w:sz w:val="24"/>
          <w:szCs w:val="24"/>
        </w:rPr>
        <w:t xml:space="preserve"> д</w:t>
      </w:r>
      <w:r w:rsidR="00835014" w:rsidRPr="00D71AF3">
        <w:rPr>
          <w:sz w:val="24"/>
          <w:szCs w:val="24"/>
        </w:rPr>
        <w:t>ля понимания особенностей трансформации рынка китайского искусства в 2021–2025 ключевыми становятся изменени</w:t>
      </w:r>
      <w:r w:rsidR="00911826" w:rsidRPr="00D71AF3">
        <w:rPr>
          <w:sz w:val="24"/>
          <w:szCs w:val="24"/>
        </w:rPr>
        <w:t>я в</w:t>
      </w:r>
      <w:r w:rsidR="00835014" w:rsidRPr="00D71AF3">
        <w:rPr>
          <w:sz w:val="24"/>
          <w:szCs w:val="24"/>
        </w:rPr>
        <w:t xml:space="preserve"> стратеги</w:t>
      </w:r>
      <w:r w:rsidR="00911826" w:rsidRPr="00D71AF3">
        <w:rPr>
          <w:sz w:val="24"/>
          <w:szCs w:val="24"/>
        </w:rPr>
        <w:t>ях</w:t>
      </w:r>
      <w:r w:rsidR="00835014" w:rsidRPr="00D71AF3">
        <w:rPr>
          <w:sz w:val="24"/>
          <w:szCs w:val="24"/>
        </w:rPr>
        <w:t xml:space="preserve"> ведения</w:t>
      </w:r>
      <w:r w:rsidR="00911826" w:rsidRPr="00D71AF3">
        <w:rPr>
          <w:sz w:val="24"/>
          <w:szCs w:val="24"/>
        </w:rPr>
        <w:t xml:space="preserve"> аукционной</w:t>
      </w:r>
      <w:r w:rsidR="00835014" w:rsidRPr="00D71AF3">
        <w:rPr>
          <w:sz w:val="24"/>
          <w:szCs w:val="24"/>
        </w:rPr>
        <w:t xml:space="preserve"> деятельности дом</w:t>
      </w:r>
      <w:r w:rsidR="00911826" w:rsidRPr="00D71AF3">
        <w:rPr>
          <w:sz w:val="24"/>
          <w:szCs w:val="24"/>
        </w:rPr>
        <w:t>ами</w:t>
      </w:r>
      <w:r w:rsidR="00835014" w:rsidRPr="00D71AF3">
        <w:rPr>
          <w:sz w:val="24"/>
          <w:szCs w:val="24"/>
        </w:rPr>
        <w:t>, связанн</w:t>
      </w:r>
      <w:r w:rsidR="00911826" w:rsidRPr="00D71AF3">
        <w:rPr>
          <w:sz w:val="24"/>
          <w:szCs w:val="24"/>
        </w:rPr>
        <w:t>ые</w:t>
      </w:r>
      <w:r w:rsidR="00835014" w:rsidRPr="00D71AF3">
        <w:rPr>
          <w:sz w:val="24"/>
          <w:szCs w:val="24"/>
        </w:rPr>
        <w:t xml:space="preserve"> с предпочтениями покупателей и мод</w:t>
      </w:r>
      <w:r w:rsidR="00DA6E9C">
        <w:rPr>
          <w:sz w:val="24"/>
          <w:szCs w:val="24"/>
        </w:rPr>
        <w:t>ой</w:t>
      </w:r>
      <w:r w:rsidR="00835014" w:rsidRPr="00D71AF3">
        <w:rPr>
          <w:sz w:val="24"/>
          <w:szCs w:val="24"/>
        </w:rPr>
        <w:t xml:space="preserve"> на определённые предметы искусства среди коллекционеров. Путём инде</w:t>
      </w:r>
      <w:r w:rsidR="00535112" w:rsidRPr="00D71AF3">
        <w:rPr>
          <w:sz w:val="24"/>
          <w:szCs w:val="24"/>
        </w:rPr>
        <w:t>ксного метода и</w:t>
      </w:r>
      <w:r w:rsidR="00835014" w:rsidRPr="00D71AF3">
        <w:rPr>
          <w:sz w:val="24"/>
          <w:szCs w:val="24"/>
        </w:rPr>
        <w:t xml:space="preserve"> нормализации </w:t>
      </w:r>
      <w:r w:rsidR="00535112" w:rsidRPr="00D71AF3">
        <w:rPr>
          <w:sz w:val="24"/>
          <w:szCs w:val="24"/>
        </w:rPr>
        <w:t xml:space="preserve">средней цены торгов внутри каждого года </w:t>
      </w:r>
      <w:r w:rsidR="00835014" w:rsidRPr="00D71AF3">
        <w:rPr>
          <w:sz w:val="24"/>
          <w:szCs w:val="24"/>
        </w:rPr>
        <w:t xml:space="preserve">автор исследует продажи аукционных домов, анализируя изменения категорий торгов и стоимости лотов в каждой категории. </w:t>
      </w:r>
      <w:r w:rsidR="00535112" w:rsidRPr="00D71AF3">
        <w:rPr>
          <w:sz w:val="24"/>
          <w:szCs w:val="24"/>
        </w:rPr>
        <w:t>Исследование выявляет</w:t>
      </w:r>
      <w:r w:rsidR="00284686">
        <w:rPr>
          <w:sz w:val="24"/>
          <w:szCs w:val="24"/>
        </w:rPr>
        <w:t>,</w:t>
      </w:r>
      <w:r w:rsidR="00535112" w:rsidRPr="00D71AF3">
        <w:rPr>
          <w:sz w:val="24"/>
          <w:szCs w:val="24"/>
        </w:rPr>
        <w:t xml:space="preserve"> какие категории товаров наиболее ценятся среди покупателей китайского искусства, какие выступают драйверами роста объёма продаж на различных площадках: в Пекине, Гонконге, Нью-Йорке.</w:t>
      </w:r>
    </w:p>
    <w:p w14:paraId="4455915A" w14:textId="60BA0518" w:rsidR="00292685" w:rsidRPr="00D71AF3" w:rsidRDefault="00535112" w:rsidP="00292685">
      <w:pPr>
        <w:spacing w:line="240" w:lineRule="auto"/>
        <w:ind w:firstLine="567"/>
        <w:rPr>
          <w:sz w:val="24"/>
          <w:szCs w:val="24"/>
        </w:rPr>
      </w:pPr>
      <w:r w:rsidRPr="00D71AF3">
        <w:rPr>
          <w:sz w:val="24"/>
          <w:szCs w:val="24"/>
        </w:rPr>
        <w:t xml:space="preserve">Такой метод </w:t>
      </w:r>
      <w:r w:rsidR="00E829C7" w:rsidRPr="00D71AF3">
        <w:rPr>
          <w:sz w:val="24"/>
          <w:szCs w:val="24"/>
        </w:rPr>
        <w:t>исследования</w:t>
      </w:r>
      <w:r w:rsidRPr="00D71AF3">
        <w:rPr>
          <w:sz w:val="24"/>
          <w:szCs w:val="24"/>
        </w:rPr>
        <w:t xml:space="preserve"> рынка искусства определяет новизну авторского подхода, где результатами является выявление тенденций</w:t>
      </w:r>
      <w:r w:rsidR="00037484">
        <w:rPr>
          <w:sz w:val="24"/>
          <w:szCs w:val="24"/>
        </w:rPr>
        <w:t xml:space="preserve"> </w:t>
      </w:r>
      <w:r w:rsidR="00B73CDE">
        <w:rPr>
          <w:sz w:val="24"/>
          <w:szCs w:val="24"/>
        </w:rPr>
        <w:t xml:space="preserve">на арт-рынке в определённом сегменте. Таким образом, автор описывает, как функционирует рынок китайского искусства </w:t>
      </w:r>
      <w:r w:rsidR="00B73CDE">
        <w:rPr>
          <w:rFonts w:hint="eastAsia"/>
          <w:sz w:val="24"/>
          <w:szCs w:val="24"/>
        </w:rPr>
        <w:t>в</w:t>
      </w:r>
      <w:r w:rsidR="00B73CDE">
        <w:rPr>
          <w:sz w:val="24"/>
          <w:szCs w:val="24"/>
        </w:rPr>
        <w:t xml:space="preserve"> условиях вызовов глобальной неустойчивости</w:t>
      </w:r>
      <w:r w:rsidR="005C3ABE">
        <w:rPr>
          <w:sz w:val="24"/>
          <w:szCs w:val="24"/>
        </w:rPr>
        <w:t>.</w:t>
      </w:r>
    </w:p>
    <w:p w14:paraId="4D214A48" w14:textId="21B5F18E" w:rsidR="00535112" w:rsidRPr="00D71AF3" w:rsidRDefault="00535112" w:rsidP="00A402D1">
      <w:pPr>
        <w:spacing w:line="240" w:lineRule="auto"/>
        <w:ind w:firstLine="567"/>
        <w:rPr>
          <w:sz w:val="24"/>
          <w:szCs w:val="24"/>
        </w:rPr>
      </w:pPr>
    </w:p>
    <w:p w14:paraId="00E4820D" w14:textId="1FB65D1E" w:rsidR="00535112" w:rsidRPr="00D71AF3" w:rsidRDefault="00535112" w:rsidP="00A402D1">
      <w:pPr>
        <w:spacing w:line="240" w:lineRule="auto"/>
        <w:ind w:firstLine="567"/>
        <w:rPr>
          <w:b/>
          <w:bCs/>
          <w:sz w:val="24"/>
          <w:szCs w:val="24"/>
        </w:rPr>
      </w:pPr>
      <w:r w:rsidRPr="00D71AF3">
        <w:rPr>
          <w:b/>
          <w:bCs/>
          <w:sz w:val="24"/>
          <w:szCs w:val="24"/>
        </w:rPr>
        <w:t>Использованные источники:</w:t>
      </w:r>
    </w:p>
    <w:p w14:paraId="3B61BCBC" w14:textId="767999FC" w:rsidR="00390760" w:rsidRPr="00390760" w:rsidRDefault="00390760" w:rsidP="00390760">
      <w:pPr>
        <w:pStyle w:val="a7"/>
        <w:numPr>
          <w:ilvl w:val="0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D71AF3">
        <w:rPr>
          <w:rFonts w:cs="Times New Roman"/>
          <w:sz w:val="24"/>
          <w:szCs w:val="24"/>
          <w:shd w:val="clear" w:color="auto" w:fill="FFFFFF"/>
          <w:lang w:val="en-US"/>
        </w:rPr>
        <w:t>Cerulli</w:t>
      </w:r>
      <w:r w:rsidRPr="00D71AF3">
        <w:rPr>
          <w:sz w:val="24"/>
          <w:szCs w:val="24"/>
          <w:shd w:val="clear" w:color="auto" w:fill="FFFFFF"/>
          <w:lang w:val="en-US"/>
        </w:rPr>
        <w:t xml:space="preserve"> Anticipates $124 Trillion in Wealth Will Transfer Through 2048</w:t>
      </w:r>
      <w:r w:rsidRPr="00D71AF3">
        <w:rPr>
          <w:sz w:val="24"/>
          <w:szCs w:val="24"/>
          <w:lang w:val="en-US"/>
        </w:rPr>
        <w:t xml:space="preserve"> [</w:t>
      </w:r>
      <w:r w:rsidRPr="00D71AF3">
        <w:rPr>
          <w:sz w:val="24"/>
          <w:szCs w:val="24"/>
        </w:rPr>
        <w:t>Электронный</w:t>
      </w:r>
      <w:r w:rsidRPr="00D71AF3">
        <w:rPr>
          <w:sz w:val="24"/>
          <w:szCs w:val="24"/>
          <w:lang w:val="en-US"/>
        </w:rPr>
        <w:t xml:space="preserve"> </w:t>
      </w:r>
      <w:r w:rsidRPr="00D71AF3">
        <w:rPr>
          <w:sz w:val="24"/>
          <w:szCs w:val="24"/>
        </w:rPr>
        <w:t>ресурс</w:t>
      </w:r>
      <w:r w:rsidRPr="00D71AF3">
        <w:rPr>
          <w:sz w:val="24"/>
          <w:szCs w:val="24"/>
          <w:lang w:val="en-US"/>
        </w:rPr>
        <w:t xml:space="preserve">] // </w:t>
      </w:r>
      <w:r w:rsidRPr="00D71AF3">
        <w:rPr>
          <w:sz w:val="24"/>
          <w:szCs w:val="24"/>
          <w:shd w:val="clear" w:color="auto" w:fill="FFFFFF"/>
          <w:lang w:val="en-US"/>
        </w:rPr>
        <w:t>Cerulli Associates</w:t>
      </w:r>
      <w:r w:rsidRPr="00D71AF3">
        <w:rPr>
          <w:sz w:val="24"/>
          <w:szCs w:val="24"/>
          <w:lang w:val="en-US"/>
        </w:rPr>
        <w:t xml:space="preserve">. </w:t>
      </w:r>
      <w:r w:rsidRPr="00D71AF3">
        <w:rPr>
          <w:sz w:val="24"/>
          <w:szCs w:val="24"/>
        </w:rPr>
        <w:t xml:space="preserve">2024. URL: </w:t>
      </w:r>
      <w:hyperlink r:id="rId7" w:history="1">
        <w:r w:rsidRPr="00D71AF3">
          <w:rPr>
            <w:rStyle w:val="ac"/>
            <w:sz w:val="24"/>
            <w:szCs w:val="24"/>
          </w:rPr>
          <w:t>https://www.cerulli.com/press-releases/cerulli-anticipates-124-trillion-in-wealth-will-transfer-through-2048</w:t>
        </w:r>
      </w:hyperlink>
      <w:r w:rsidRPr="00D71AF3">
        <w:rPr>
          <w:sz w:val="24"/>
          <w:szCs w:val="24"/>
        </w:rPr>
        <w:t xml:space="preserve"> (дата обращения: 22.02.2026).</w:t>
      </w:r>
    </w:p>
    <w:p w14:paraId="43C63E53" w14:textId="00D9B783" w:rsidR="00BA2B61" w:rsidRPr="00D71AF3" w:rsidRDefault="002F658C" w:rsidP="00D71AF3">
      <w:pPr>
        <w:pStyle w:val="a7"/>
        <w:numPr>
          <w:ilvl w:val="0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D71AF3">
        <w:rPr>
          <w:rFonts w:cs="Times New Roman"/>
          <w:sz w:val="24"/>
          <w:szCs w:val="24"/>
          <w:lang w:val="en-US"/>
        </w:rPr>
        <w:t xml:space="preserve">Introducing the </w:t>
      </w:r>
      <w:r w:rsidRPr="00D71AF3">
        <w:rPr>
          <w:rStyle w:val="af2"/>
          <w:sz w:val="24"/>
          <w:szCs w:val="24"/>
        </w:rPr>
        <w:t>Intellig</w:t>
      </w:r>
      <w:r w:rsidRPr="00D71AF3">
        <w:rPr>
          <w:rFonts w:cs="Times New Roman"/>
          <w:sz w:val="24"/>
          <w:szCs w:val="24"/>
          <w:lang w:val="en-US"/>
        </w:rPr>
        <w:t>ence Report: The Year Ahead 2025 [</w:t>
      </w:r>
      <w:r w:rsidRPr="00D71AF3">
        <w:rPr>
          <w:rFonts w:cs="Times New Roman"/>
          <w:sz w:val="24"/>
          <w:szCs w:val="24"/>
        </w:rPr>
        <w:t>Электронный</w:t>
      </w:r>
      <w:r w:rsidRPr="00D71AF3">
        <w:rPr>
          <w:rFonts w:cs="Times New Roman"/>
          <w:sz w:val="24"/>
          <w:szCs w:val="24"/>
          <w:lang w:val="en-US"/>
        </w:rPr>
        <w:t xml:space="preserve"> </w:t>
      </w:r>
      <w:r w:rsidRPr="00D71AF3">
        <w:rPr>
          <w:rFonts w:cs="Times New Roman"/>
          <w:sz w:val="24"/>
          <w:szCs w:val="24"/>
        </w:rPr>
        <w:t>ресурс</w:t>
      </w:r>
      <w:r w:rsidRPr="00D71AF3">
        <w:rPr>
          <w:rFonts w:cs="Times New Roman"/>
          <w:sz w:val="24"/>
          <w:szCs w:val="24"/>
          <w:lang w:val="en-US"/>
        </w:rPr>
        <w:t>] // Artnet. – 2025. P</w:t>
      </w:r>
      <w:r w:rsidRPr="00D71AF3">
        <w:rPr>
          <w:rFonts w:cs="Times New Roman"/>
          <w:sz w:val="24"/>
          <w:szCs w:val="24"/>
        </w:rPr>
        <w:t xml:space="preserve">. 38-39. </w:t>
      </w:r>
      <w:r w:rsidRPr="00D71AF3">
        <w:rPr>
          <w:rFonts w:cs="Times New Roman"/>
          <w:sz w:val="24"/>
          <w:szCs w:val="24"/>
          <w:lang w:val="en-US"/>
        </w:rPr>
        <w:t>URL</w:t>
      </w:r>
      <w:r w:rsidRPr="00D71AF3">
        <w:rPr>
          <w:rFonts w:cs="Times New Roman"/>
          <w:sz w:val="24"/>
          <w:szCs w:val="24"/>
        </w:rPr>
        <w:t xml:space="preserve">: </w:t>
      </w:r>
      <w:hyperlink r:id="rId8" w:history="1">
        <w:r w:rsidRPr="00D71AF3">
          <w:rPr>
            <w:rStyle w:val="ac"/>
            <w:rFonts w:cs="Times New Roman"/>
            <w:sz w:val="24"/>
            <w:szCs w:val="24"/>
          </w:rPr>
          <w:t>https://news.artnet.com/market/introducing-the-intelligence-report-the-year-ahead-2025-2620334</w:t>
        </w:r>
      </w:hyperlink>
      <w:r w:rsidRPr="00D71AF3">
        <w:rPr>
          <w:rFonts w:cs="Times New Roman"/>
          <w:sz w:val="24"/>
          <w:szCs w:val="24"/>
        </w:rPr>
        <w:t xml:space="preserve"> (дата обращения: </w:t>
      </w:r>
      <w:r w:rsidR="00E829C7" w:rsidRPr="00D71AF3">
        <w:rPr>
          <w:rFonts w:cs="Times New Roman"/>
          <w:sz w:val="24"/>
          <w:szCs w:val="24"/>
        </w:rPr>
        <w:t>22</w:t>
      </w:r>
      <w:r w:rsidRPr="00D71AF3">
        <w:rPr>
          <w:rFonts w:cs="Times New Roman"/>
          <w:sz w:val="24"/>
          <w:szCs w:val="24"/>
        </w:rPr>
        <w:t>.0</w:t>
      </w:r>
      <w:r w:rsidR="00E829C7" w:rsidRPr="00D71AF3">
        <w:rPr>
          <w:rFonts w:cs="Times New Roman"/>
          <w:sz w:val="24"/>
          <w:szCs w:val="24"/>
        </w:rPr>
        <w:t>2</w:t>
      </w:r>
      <w:r w:rsidRPr="00D71AF3">
        <w:rPr>
          <w:rFonts w:cs="Times New Roman"/>
          <w:sz w:val="24"/>
          <w:szCs w:val="24"/>
        </w:rPr>
        <w:t>.202</w:t>
      </w:r>
      <w:r w:rsidR="00E829C7" w:rsidRPr="00D71AF3">
        <w:rPr>
          <w:rFonts w:cs="Times New Roman"/>
          <w:sz w:val="24"/>
          <w:szCs w:val="24"/>
        </w:rPr>
        <w:t>6</w:t>
      </w:r>
      <w:r w:rsidRPr="00D71AF3">
        <w:rPr>
          <w:rFonts w:cs="Times New Roman"/>
          <w:sz w:val="24"/>
          <w:szCs w:val="24"/>
        </w:rPr>
        <w:t>)</w:t>
      </w:r>
      <w:r w:rsidR="00A052EB" w:rsidRPr="00D71AF3">
        <w:rPr>
          <w:rFonts w:cs="Times New Roman"/>
          <w:sz w:val="24"/>
          <w:szCs w:val="24"/>
        </w:rPr>
        <w:t>.</w:t>
      </w:r>
    </w:p>
    <w:sectPr w:rsidR="00BA2B61" w:rsidRPr="00D71AF3" w:rsidSect="008224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C70C" w14:textId="77777777" w:rsidR="00A1559C" w:rsidRDefault="00A1559C" w:rsidP="00DF0999">
      <w:pPr>
        <w:spacing w:line="240" w:lineRule="auto"/>
      </w:pPr>
      <w:r>
        <w:separator/>
      </w:r>
    </w:p>
  </w:endnote>
  <w:endnote w:type="continuationSeparator" w:id="0">
    <w:p w14:paraId="3F58A3E7" w14:textId="77777777" w:rsidR="00A1559C" w:rsidRDefault="00A1559C" w:rsidP="00DF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03A7" w14:textId="77777777" w:rsidR="00A1559C" w:rsidRDefault="00A1559C" w:rsidP="00DF0999">
      <w:pPr>
        <w:spacing w:line="240" w:lineRule="auto"/>
      </w:pPr>
      <w:r>
        <w:separator/>
      </w:r>
    </w:p>
  </w:footnote>
  <w:footnote w:type="continuationSeparator" w:id="0">
    <w:p w14:paraId="20DDE1B2" w14:textId="77777777" w:rsidR="00A1559C" w:rsidRDefault="00A1559C" w:rsidP="00DF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E27"/>
    <w:multiLevelType w:val="hybridMultilevel"/>
    <w:tmpl w:val="4878BBC0"/>
    <w:lvl w:ilvl="0" w:tplc="FF82B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72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ED"/>
    <w:rsid w:val="00006300"/>
    <w:rsid w:val="00037484"/>
    <w:rsid w:val="000B324E"/>
    <w:rsid w:val="0013698A"/>
    <w:rsid w:val="001563B5"/>
    <w:rsid w:val="001C438D"/>
    <w:rsid w:val="00267276"/>
    <w:rsid w:val="00284686"/>
    <w:rsid w:val="00292685"/>
    <w:rsid w:val="002E7508"/>
    <w:rsid w:val="002F658C"/>
    <w:rsid w:val="00390760"/>
    <w:rsid w:val="003A2786"/>
    <w:rsid w:val="003A6056"/>
    <w:rsid w:val="003D2E7D"/>
    <w:rsid w:val="00400C63"/>
    <w:rsid w:val="004A6FEB"/>
    <w:rsid w:val="004B4783"/>
    <w:rsid w:val="004C6EE0"/>
    <w:rsid w:val="00535112"/>
    <w:rsid w:val="00552984"/>
    <w:rsid w:val="00571EA0"/>
    <w:rsid w:val="005C3ABE"/>
    <w:rsid w:val="005F15C1"/>
    <w:rsid w:val="006347C0"/>
    <w:rsid w:val="00651071"/>
    <w:rsid w:val="00700FFB"/>
    <w:rsid w:val="00752E76"/>
    <w:rsid w:val="007700A1"/>
    <w:rsid w:val="007A5094"/>
    <w:rsid w:val="007D6903"/>
    <w:rsid w:val="007E2DDF"/>
    <w:rsid w:val="008077D9"/>
    <w:rsid w:val="008224ED"/>
    <w:rsid w:val="00835014"/>
    <w:rsid w:val="00871901"/>
    <w:rsid w:val="008F36A2"/>
    <w:rsid w:val="00902021"/>
    <w:rsid w:val="00911826"/>
    <w:rsid w:val="009145C1"/>
    <w:rsid w:val="009373AE"/>
    <w:rsid w:val="00956745"/>
    <w:rsid w:val="009965D6"/>
    <w:rsid w:val="00996B30"/>
    <w:rsid w:val="009A059D"/>
    <w:rsid w:val="009A2825"/>
    <w:rsid w:val="009E68FF"/>
    <w:rsid w:val="00A052EB"/>
    <w:rsid w:val="00A1559C"/>
    <w:rsid w:val="00A402D1"/>
    <w:rsid w:val="00A94CCF"/>
    <w:rsid w:val="00AA7AD5"/>
    <w:rsid w:val="00AF3180"/>
    <w:rsid w:val="00B548E9"/>
    <w:rsid w:val="00B73CDE"/>
    <w:rsid w:val="00B83EB8"/>
    <w:rsid w:val="00BA2B61"/>
    <w:rsid w:val="00BD0763"/>
    <w:rsid w:val="00C2441C"/>
    <w:rsid w:val="00C57571"/>
    <w:rsid w:val="00D45524"/>
    <w:rsid w:val="00D71AF3"/>
    <w:rsid w:val="00DA6E9C"/>
    <w:rsid w:val="00DD4B2D"/>
    <w:rsid w:val="00DF0999"/>
    <w:rsid w:val="00E06381"/>
    <w:rsid w:val="00E151C5"/>
    <w:rsid w:val="00E61382"/>
    <w:rsid w:val="00E7612E"/>
    <w:rsid w:val="00E829C7"/>
    <w:rsid w:val="00F16BC3"/>
    <w:rsid w:val="00F62087"/>
    <w:rsid w:val="00F75187"/>
    <w:rsid w:val="00F76DD1"/>
    <w:rsid w:val="00FB45F0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B8B4"/>
  <w15:chartTrackingRefBased/>
  <w15:docId w15:val="{EC3E15A4-F26F-441B-8FF0-99033D54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58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4ED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24ED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24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24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24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24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E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4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24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4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4ED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24E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24E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24E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F09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099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DF09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0999"/>
    <w:rPr>
      <w:rFonts w:ascii="Times New Roman" w:hAnsi="Times New Roman"/>
      <w:sz w:val="28"/>
    </w:rPr>
  </w:style>
  <w:style w:type="character" w:styleId="af2">
    <w:name w:val="Emphasis"/>
    <w:uiPriority w:val="20"/>
    <w:qFormat/>
    <w:rsid w:val="002F658C"/>
    <w:rPr>
      <w:rFonts w:cs="Times New Roman"/>
      <w:lang w:val="en-US"/>
    </w:rPr>
  </w:style>
  <w:style w:type="character" w:styleId="af3">
    <w:name w:val="FollowedHyperlink"/>
    <w:basedOn w:val="a0"/>
    <w:uiPriority w:val="99"/>
    <w:semiHidden/>
    <w:unhideWhenUsed/>
    <w:rsid w:val="002F658C"/>
    <w:rPr>
      <w:color w:val="96607D" w:themeColor="followedHyperlink"/>
      <w:u w:val="single"/>
    </w:rPr>
  </w:style>
  <w:style w:type="paragraph" w:styleId="af4">
    <w:name w:val="footnote text"/>
    <w:basedOn w:val="a"/>
    <w:link w:val="af5"/>
    <w:uiPriority w:val="99"/>
    <w:unhideWhenUsed/>
    <w:rsid w:val="002F658C"/>
    <w:pPr>
      <w:spacing w:line="240" w:lineRule="auto"/>
      <w:ind w:firstLine="0"/>
    </w:pPr>
    <w:rPr>
      <w:kern w:val="0"/>
      <w:sz w:val="20"/>
      <w:szCs w:val="20"/>
      <w14:ligatures w14:val="none"/>
    </w:rPr>
  </w:style>
  <w:style w:type="character" w:customStyle="1" w:styleId="af5">
    <w:name w:val="Текст сноски Знак"/>
    <w:basedOn w:val="a0"/>
    <w:link w:val="af4"/>
    <w:uiPriority w:val="99"/>
    <w:rsid w:val="002F658C"/>
    <w:rPr>
      <w:rFonts w:ascii="Times New Roman" w:hAnsi="Times New Roman"/>
      <w:kern w:val="0"/>
      <w:sz w:val="20"/>
      <w:szCs w:val="20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2F658C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E06381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E0638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E06381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0638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0638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artnet.com/market/introducing-the-intelligence-report-the-year-ahead-2025-2620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ulli.com/press-releases/cerulli-anticipates-124-trillion-in-wealth-will-transfer-through-2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Spassky Paulo</dc:creator>
  <cp:keywords/>
  <dc:description/>
  <cp:lastModifiedBy>Spassky Paulo</cp:lastModifiedBy>
  <cp:revision>8</cp:revision>
  <dcterms:created xsi:type="dcterms:W3CDTF">2026-02-27T08:44:00Z</dcterms:created>
  <dcterms:modified xsi:type="dcterms:W3CDTF">2026-03-02T16:27:00Z</dcterms:modified>
</cp:coreProperties>
</file>