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FA" w:rsidRPr="00101620" w:rsidRDefault="004239FA" w:rsidP="004239F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101620">
        <w:rPr>
          <w:color w:val="0F1115"/>
        </w:rPr>
        <w:t>«Цифровой шелковый путь» (ЦШП), официально интегрированный в повестку инициативы «Один пояс – один путь» в мае 2017 года на I Форуме высокого уровня по международному сотрудничеству </w:t>
      </w:r>
      <w:r w:rsidRPr="00102CEB">
        <w:rPr>
          <w:rStyle w:val="a3"/>
          <w:b w:val="0"/>
          <w:color w:val="0F1115"/>
        </w:rPr>
        <w:t>[1]</w:t>
      </w:r>
      <w:r w:rsidRPr="00101620">
        <w:rPr>
          <w:color w:val="0F1115"/>
        </w:rPr>
        <w:t>, знаменует собой качественный сдвиг в стратегии глобальной экспансии КНР. Если первоначально «Пояс и путь» фокусировался на строительстве физической («жесткой») инфраструктуры — портов, железных дорог, трубопроводов, то ЦШП переносит конкуренцию в нематериальную, но более критическую сферу — управление данными, цифровую идентичность и алгоритмическое регулирование. Китай предлагает странам Глобального Юга не просто технологии, а готовую модель «цифрового государства», альтернативную западной, что позволяет Пекину выступить в роли «технологического лидера» и бросить вызов доминированию Запада </w:t>
      </w:r>
      <w:r w:rsidRPr="00102CEB">
        <w:rPr>
          <w:rStyle w:val="a3"/>
          <w:b w:val="0"/>
          <w:color w:val="0F1115"/>
        </w:rPr>
        <w:t>[1]</w:t>
      </w:r>
      <w:r w:rsidRPr="00101620">
        <w:rPr>
          <w:color w:val="0F1115"/>
        </w:rPr>
        <w:t>.</w:t>
      </w:r>
    </w:p>
    <w:p w:rsidR="004239FA" w:rsidRPr="00101620" w:rsidRDefault="004239FA" w:rsidP="004239F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101620">
        <w:rPr>
          <w:color w:val="0F1115"/>
        </w:rPr>
        <w:t>ЦШП – это комплексная экосистема, нацеленная на интернационализацию китайских стандартов </w:t>
      </w:r>
      <w:r w:rsidRPr="00102CEB">
        <w:rPr>
          <w:rStyle w:val="a3"/>
          <w:b w:val="0"/>
          <w:color w:val="0F1115"/>
        </w:rPr>
        <w:t>[1]</w:t>
      </w:r>
      <w:r>
        <w:rPr>
          <w:rStyle w:val="a3"/>
          <w:b w:val="0"/>
          <w:color w:val="0F1115"/>
        </w:rPr>
        <w:t xml:space="preserve">. </w:t>
      </w:r>
      <w:r w:rsidRPr="00101620">
        <w:rPr>
          <w:color w:val="0F1115"/>
        </w:rPr>
        <w:t>Она включает три взаимосвязанных уровня:</w:t>
      </w:r>
    </w:p>
    <w:p w:rsidR="004239FA" w:rsidRPr="00102CEB" w:rsidRDefault="004239FA" w:rsidP="004239F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Style w:val="a3"/>
          <w:b w:val="0"/>
          <w:bCs w:val="0"/>
          <w:color w:val="0F1115"/>
        </w:rPr>
      </w:pPr>
      <w:r w:rsidRPr="00102CEB">
        <w:rPr>
          <w:rStyle w:val="a3"/>
          <w:b w:val="0"/>
          <w:color w:val="0F1115"/>
        </w:rPr>
        <w:t>Цифровая инфраструктура:</w:t>
      </w:r>
      <w:r w:rsidRPr="00101620">
        <w:rPr>
          <w:color w:val="0F1115"/>
        </w:rPr>
        <w:t xml:space="preserve"> строительство телекоммуникационных сетей 5G (компаниями </w:t>
      </w:r>
      <w:proofErr w:type="spellStart"/>
      <w:r w:rsidRPr="00101620">
        <w:rPr>
          <w:color w:val="0F1115"/>
        </w:rPr>
        <w:t>Huawei</w:t>
      </w:r>
      <w:proofErr w:type="spellEnd"/>
      <w:r w:rsidRPr="00101620">
        <w:rPr>
          <w:color w:val="0F1115"/>
        </w:rPr>
        <w:t xml:space="preserve"> и ZTE), прокладка оптоволоконных линий и развитие спутниковых группировок (совместная программа CBERS с Бразилией)</w:t>
      </w:r>
      <w:r>
        <w:rPr>
          <w:color w:val="0F1115"/>
        </w:rPr>
        <w:t>.</w:t>
      </w:r>
    </w:p>
    <w:p w:rsidR="004239FA" w:rsidRPr="00102CEB" w:rsidRDefault="004239FA" w:rsidP="004239F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Style w:val="a3"/>
          <w:b w:val="0"/>
          <w:bCs w:val="0"/>
          <w:color w:val="0F1115"/>
        </w:rPr>
      </w:pPr>
      <w:r w:rsidRPr="00102CEB">
        <w:rPr>
          <w:rStyle w:val="a3"/>
          <w:b w:val="0"/>
          <w:color w:val="0F1115"/>
        </w:rPr>
        <w:t>Цифровые платформы и услуги:</w:t>
      </w:r>
      <w:r w:rsidRPr="00102CEB">
        <w:rPr>
          <w:color w:val="0F1115"/>
        </w:rPr>
        <w:t> внедрение систем для «умных городов», включая камеры видеонаблюдения с функцией распознавания лиц (</w:t>
      </w:r>
      <w:proofErr w:type="spellStart"/>
      <w:r w:rsidRPr="00102CEB">
        <w:rPr>
          <w:color w:val="0F1115"/>
        </w:rPr>
        <w:t>Hikvision</w:t>
      </w:r>
      <w:proofErr w:type="spellEnd"/>
      <w:r w:rsidRPr="00102CEB">
        <w:rPr>
          <w:color w:val="0F1115"/>
        </w:rPr>
        <w:t xml:space="preserve">, </w:t>
      </w:r>
      <w:proofErr w:type="spellStart"/>
      <w:r w:rsidRPr="00102CEB">
        <w:rPr>
          <w:color w:val="0F1115"/>
        </w:rPr>
        <w:t>Dahua</w:t>
      </w:r>
      <w:proofErr w:type="spellEnd"/>
      <w:r w:rsidRPr="00102CEB">
        <w:rPr>
          <w:color w:val="0F1115"/>
        </w:rPr>
        <w:t xml:space="preserve">, ZTE), создание центров обработки данных (проект </w:t>
      </w:r>
      <w:proofErr w:type="spellStart"/>
      <w:r w:rsidRPr="00102CEB">
        <w:rPr>
          <w:color w:val="0F1115"/>
        </w:rPr>
        <w:t>Huawei</w:t>
      </w:r>
      <w:proofErr w:type="spellEnd"/>
      <w:r w:rsidRPr="00102CEB">
        <w:rPr>
          <w:color w:val="0F1115"/>
        </w:rPr>
        <w:t xml:space="preserve"> в Чили, 2019 г.) и суверенных облачных сервисов (в странах Персидского залива) </w:t>
      </w:r>
      <w:r w:rsidRPr="00102CEB">
        <w:rPr>
          <w:rStyle w:val="a3"/>
          <w:b w:val="0"/>
          <w:color w:val="0F1115"/>
        </w:rPr>
        <w:t>[1]</w:t>
      </w:r>
      <w:r>
        <w:rPr>
          <w:rStyle w:val="a3"/>
          <w:b w:val="0"/>
          <w:color w:val="0F1115"/>
        </w:rPr>
        <w:t>.</w:t>
      </w:r>
    </w:p>
    <w:p w:rsidR="004239FA" w:rsidRPr="00102CEB" w:rsidRDefault="004239FA" w:rsidP="004239F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102CEB">
        <w:rPr>
          <w:rStyle w:val="a3"/>
          <w:b w:val="0"/>
          <w:color w:val="0F1115"/>
        </w:rPr>
        <w:t>Прикладные решения для безопасности</w:t>
      </w:r>
      <w:r w:rsidRPr="00102CEB">
        <w:rPr>
          <w:rStyle w:val="a3"/>
          <w:color w:val="0F1115"/>
        </w:rPr>
        <w:t>:</w:t>
      </w:r>
      <w:r w:rsidRPr="00102CEB">
        <w:rPr>
          <w:color w:val="0F1115"/>
        </w:rPr>
        <w:t> создание интегрированных систем общественной безопасности, таких как ECU-911 в Эквадоре (2011 г.) и BOL-110 в Боливии (2019 г.) </w:t>
      </w:r>
      <w:r w:rsidRPr="00102CEB">
        <w:rPr>
          <w:rStyle w:val="a3"/>
          <w:b w:val="0"/>
          <w:color w:val="0F1115"/>
        </w:rPr>
        <w:t>[1]</w:t>
      </w:r>
      <w:r>
        <w:rPr>
          <w:rStyle w:val="a3"/>
          <w:b w:val="0"/>
          <w:color w:val="0F1115"/>
        </w:rPr>
        <w:t>.</w:t>
      </w:r>
    </w:p>
    <w:p w:rsidR="004239FA" w:rsidRPr="00101620" w:rsidRDefault="004239FA" w:rsidP="004239F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101620">
        <w:rPr>
          <w:color w:val="0F1115"/>
        </w:rPr>
        <w:t>С помощью создания данной экосистемы Китай формирует не просто сотрудничество, а устойчивую зависимость стран Глобального Юга через три взаимосвязанных контура, которые превращают развивающиеся страны в «стратегический актив» Пекина </w:t>
      </w:r>
      <w:r w:rsidRPr="00102CEB">
        <w:rPr>
          <w:rStyle w:val="a3"/>
          <w:b w:val="0"/>
          <w:color w:val="0F1115"/>
        </w:rPr>
        <w:t>[</w:t>
      </w:r>
      <w:r>
        <w:rPr>
          <w:rStyle w:val="a3"/>
          <w:b w:val="0"/>
          <w:color w:val="0F1115"/>
        </w:rPr>
        <w:t>2</w:t>
      </w:r>
      <w:r w:rsidRPr="00102CEB">
        <w:rPr>
          <w:rStyle w:val="a3"/>
          <w:b w:val="0"/>
          <w:color w:val="0F1115"/>
        </w:rPr>
        <w:t>]</w:t>
      </w:r>
      <w:r w:rsidRPr="00101620">
        <w:rPr>
          <w:color w:val="0F1115"/>
        </w:rPr>
        <w:t>:</w:t>
      </w:r>
    </w:p>
    <w:p w:rsidR="004239FA" w:rsidRPr="00101620" w:rsidRDefault="004239FA" w:rsidP="004239F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102CEB">
        <w:rPr>
          <w:rStyle w:val="a3"/>
          <w:b w:val="0"/>
          <w:color w:val="0F1115"/>
        </w:rPr>
        <w:t>Экономический контур («долговые ловушки 2.0»)</w:t>
      </w:r>
      <w:r w:rsidRPr="00101620">
        <w:rPr>
          <w:rStyle w:val="a3"/>
          <w:color w:val="0F1115"/>
        </w:rPr>
        <w:t>:</w:t>
      </w:r>
      <w:r w:rsidRPr="00101620">
        <w:rPr>
          <w:color w:val="0F1115"/>
        </w:rPr>
        <w:t> Государственные банки КНР (</w:t>
      </w:r>
      <w:proofErr w:type="spellStart"/>
      <w:r w:rsidRPr="00101620">
        <w:rPr>
          <w:color w:val="0F1115"/>
        </w:rPr>
        <w:t>Эксим</w:t>
      </w:r>
      <w:proofErr w:type="spellEnd"/>
      <w:r w:rsidRPr="00101620">
        <w:rPr>
          <w:color w:val="0F1115"/>
        </w:rPr>
        <w:t xml:space="preserve"> банк, Банк развития) предоставляют кредиты на льготных условиях для закупки китайского оборудования. Страны региона получают качественную и относительно недорогую технику, но попадают в долговую зависимость, обслуживание которой замыкается на китайских подрядчиках </w:t>
      </w:r>
      <w:r w:rsidRPr="00102CEB">
        <w:rPr>
          <w:rStyle w:val="a3"/>
          <w:b w:val="0"/>
          <w:color w:val="0F1115"/>
        </w:rPr>
        <w:t>[1]</w:t>
      </w:r>
      <w:r w:rsidRPr="00101620">
        <w:rPr>
          <w:color w:val="0F1115"/>
        </w:rPr>
        <w:t>.</w:t>
      </w:r>
    </w:p>
    <w:p w:rsidR="004239FA" w:rsidRPr="00101620" w:rsidRDefault="004239FA" w:rsidP="004239F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102CEB">
        <w:rPr>
          <w:rStyle w:val="a3"/>
          <w:b w:val="0"/>
          <w:color w:val="0F1115"/>
        </w:rPr>
        <w:t>Технологический контур (стандарты и протоколы)</w:t>
      </w:r>
      <w:r w:rsidRPr="00101620">
        <w:rPr>
          <w:rStyle w:val="a3"/>
          <w:color w:val="0F1115"/>
        </w:rPr>
        <w:t>:</w:t>
      </w:r>
      <w:r w:rsidRPr="00101620">
        <w:rPr>
          <w:color w:val="0F1115"/>
        </w:rPr>
        <w:t xml:space="preserve"> Внедрение китайских систем (5G, «умные города») происходит на базе закрытых протоколов и стандартов, несовместимых с </w:t>
      </w:r>
      <w:proofErr w:type="gramStart"/>
      <w:r w:rsidRPr="00101620">
        <w:rPr>
          <w:color w:val="0F1115"/>
        </w:rPr>
        <w:t>западными</w:t>
      </w:r>
      <w:proofErr w:type="gramEnd"/>
      <w:r w:rsidRPr="00101620">
        <w:rPr>
          <w:color w:val="0F1115"/>
        </w:rPr>
        <w:t>. Это создает эффект «</w:t>
      </w:r>
      <w:proofErr w:type="spellStart"/>
      <w:r w:rsidRPr="00101620">
        <w:rPr>
          <w:color w:val="0F1115"/>
        </w:rPr>
        <w:t>vendor</w:t>
      </w:r>
      <w:proofErr w:type="spellEnd"/>
      <w:r w:rsidRPr="00101620">
        <w:rPr>
          <w:color w:val="0F1115"/>
        </w:rPr>
        <w:t xml:space="preserve"> </w:t>
      </w:r>
      <w:proofErr w:type="spellStart"/>
      <w:r w:rsidRPr="00101620">
        <w:rPr>
          <w:color w:val="0F1115"/>
        </w:rPr>
        <w:t>lock-in</w:t>
      </w:r>
      <w:proofErr w:type="spellEnd"/>
      <w:r w:rsidRPr="00101620">
        <w:rPr>
          <w:color w:val="0F1115"/>
        </w:rPr>
        <w:t xml:space="preserve">»: переход на </w:t>
      </w:r>
      <w:proofErr w:type="gramStart"/>
      <w:r w:rsidRPr="00101620">
        <w:rPr>
          <w:color w:val="0F1115"/>
        </w:rPr>
        <w:t>другого</w:t>
      </w:r>
      <w:proofErr w:type="gramEnd"/>
      <w:r w:rsidRPr="00101620">
        <w:rPr>
          <w:color w:val="0F1115"/>
        </w:rPr>
        <w:t xml:space="preserve"> </w:t>
      </w:r>
      <w:proofErr w:type="spellStart"/>
      <w:r w:rsidRPr="00101620">
        <w:rPr>
          <w:color w:val="0F1115"/>
        </w:rPr>
        <w:t>вендора</w:t>
      </w:r>
      <w:proofErr w:type="spellEnd"/>
      <w:r w:rsidRPr="00101620">
        <w:rPr>
          <w:color w:val="0F1115"/>
        </w:rPr>
        <w:t xml:space="preserve"> становится экономически невозможным, что навсегда привязывает страну к китайскому технологическому стеку. Например, в Уругвае и Аргентине </w:t>
      </w:r>
      <w:r>
        <w:rPr>
          <w:color w:val="0F1115"/>
        </w:rPr>
        <w:t xml:space="preserve">сети 5G строятся на базе </w:t>
      </w:r>
      <w:proofErr w:type="spellStart"/>
      <w:r>
        <w:rPr>
          <w:color w:val="0F1115"/>
        </w:rPr>
        <w:t>Huawei</w:t>
      </w:r>
      <w:proofErr w:type="spellEnd"/>
      <w:r>
        <w:rPr>
          <w:color w:val="0F1115"/>
        </w:rPr>
        <w:t>.</w:t>
      </w:r>
    </w:p>
    <w:p w:rsidR="004239FA" w:rsidRPr="00101620" w:rsidRDefault="004239FA" w:rsidP="004239F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102CEB">
        <w:rPr>
          <w:rStyle w:val="a3"/>
          <w:b w:val="0"/>
          <w:color w:val="0F1115"/>
        </w:rPr>
        <w:t xml:space="preserve">Геополитический контур (доступ к </w:t>
      </w:r>
      <w:proofErr w:type="spellStart"/>
      <w:r w:rsidRPr="00102CEB">
        <w:rPr>
          <w:rStyle w:val="a3"/>
          <w:b w:val="0"/>
          <w:color w:val="0F1115"/>
        </w:rPr>
        <w:t>Big</w:t>
      </w:r>
      <w:proofErr w:type="spellEnd"/>
      <w:r w:rsidRPr="00102CEB">
        <w:rPr>
          <w:rStyle w:val="a3"/>
          <w:b w:val="0"/>
          <w:color w:val="0F1115"/>
        </w:rPr>
        <w:t xml:space="preserve"> </w:t>
      </w:r>
      <w:proofErr w:type="spellStart"/>
      <w:r w:rsidRPr="00102CEB">
        <w:rPr>
          <w:rStyle w:val="a3"/>
          <w:b w:val="0"/>
          <w:color w:val="0F1115"/>
        </w:rPr>
        <w:t>Data</w:t>
      </w:r>
      <w:proofErr w:type="spellEnd"/>
      <w:r w:rsidRPr="00102CEB">
        <w:rPr>
          <w:rStyle w:val="a3"/>
          <w:b w:val="0"/>
          <w:color w:val="0F1115"/>
        </w:rPr>
        <w:t>)</w:t>
      </w:r>
      <w:r w:rsidRPr="00101620">
        <w:rPr>
          <w:rStyle w:val="a3"/>
          <w:color w:val="0F1115"/>
        </w:rPr>
        <w:t>:</w:t>
      </w:r>
      <w:r w:rsidRPr="00101620">
        <w:rPr>
          <w:color w:val="0F1115"/>
        </w:rPr>
        <w:t> Самым критическим активом становится контроль над данными. Системы наблюдения (как в провинции Жужуй, Аргентина) и ID-карты (как </w:t>
      </w:r>
      <w:proofErr w:type="spellStart"/>
      <w:r w:rsidRPr="00101620">
        <w:rPr>
          <w:rStyle w:val="a4"/>
          <w:color w:val="0F1115"/>
        </w:rPr>
        <w:t>carnet</w:t>
      </w:r>
      <w:proofErr w:type="spellEnd"/>
      <w:r w:rsidRPr="00101620">
        <w:rPr>
          <w:rStyle w:val="a4"/>
          <w:color w:val="0F1115"/>
        </w:rPr>
        <w:t xml:space="preserve"> </w:t>
      </w:r>
      <w:proofErr w:type="spellStart"/>
      <w:r w:rsidRPr="00101620">
        <w:rPr>
          <w:rStyle w:val="a4"/>
          <w:color w:val="0F1115"/>
        </w:rPr>
        <w:t>de</w:t>
      </w:r>
      <w:proofErr w:type="spellEnd"/>
      <w:r w:rsidRPr="00101620">
        <w:rPr>
          <w:rStyle w:val="a4"/>
          <w:color w:val="0F1115"/>
        </w:rPr>
        <w:t xml:space="preserve"> </w:t>
      </w:r>
      <w:proofErr w:type="spellStart"/>
      <w:r w:rsidRPr="00101620">
        <w:rPr>
          <w:rStyle w:val="a4"/>
          <w:color w:val="0F1115"/>
        </w:rPr>
        <w:t>la</w:t>
      </w:r>
      <w:proofErr w:type="spellEnd"/>
      <w:r w:rsidRPr="00101620">
        <w:rPr>
          <w:rStyle w:val="a4"/>
          <w:color w:val="0F1115"/>
        </w:rPr>
        <w:t xml:space="preserve"> </w:t>
      </w:r>
      <w:proofErr w:type="spellStart"/>
      <w:r w:rsidRPr="00101620">
        <w:rPr>
          <w:rStyle w:val="a4"/>
          <w:color w:val="0F1115"/>
        </w:rPr>
        <w:t>Patria</w:t>
      </w:r>
      <w:proofErr w:type="spellEnd"/>
      <w:r w:rsidRPr="00101620">
        <w:rPr>
          <w:color w:val="0F1115"/>
        </w:rPr>
        <w:t> в Венесуэле, созданная при участии ZTE) собирают колоссальные массивы персональных и биометрических данных </w:t>
      </w:r>
      <w:r w:rsidRPr="00102CEB">
        <w:rPr>
          <w:rStyle w:val="a3"/>
          <w:b w:val="0"/>
          <w:color w:val="0F1115"/>
        </w:rPr>
        <w:t>[1]</w:t>
      </w:r>
      <w:r w:rsidRPr="00101620">
        <w:rPr>
          <w:color w:val="0F1115"/>
        </w:rPr>
        <w:t>. Доступ к этой информации дает Пекину рычаги влияния и позволяет прогнозировать социально-политическую обстановку в странах-партнерах.</w:t>
      </w:r>
    </w:p>
    <w:p w:rsidR="004239FA" w:rsidRPr="00101620" w:rsidRDefault="004239FA" w:rsidP="004239F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color w:val="0F1115"/>
        </w:rPr>
        <w:t>Но такая и</w:t>
      </w:r>
      <w:r w:rsidRPr="00101620">
        <w:rPr>
          <w:color w:val="0F1115"/>
        </w:rPr>
        <w:t>нициатива вызвала неоднозначную реакцию. Многие развивающиеся страны (22 из 33 стран ЛАКБ уже подписали меморандумы в рамках «Пояса и пути») рассматривают ЦШП как возможность преодолеть цифровой разрыв и модернизировать устаревшую инфраструктуру </w:t>
      </w:r>
      <w:r w:rsidRPr="00102CEB">
        <w:rPr>
          <w:rStyle w:val="a3"/>
          <w:b w:val="0"/>
          <w:color w:val="0F1115"/>
        </w:rPr>
        <w:t>[1]</w:t>
      </w:r>
      <w:r w:rsidRPr="00101620">
        <w:rPr>
          <w:color w:val="0F1115"/>
        </w:rPr>
        <w:t xml:space="preserve">. Однако западные державы, прежде всего США и ЕС, воспринимают этот проект как экзистенциальную угрозу. Вашингтон рассматривает ЦШП </w:t>
      </w:r>
      <w:r w:rsidRPr="00101620">
        <w:rPr>
          <w:color w:val="0F1115"/>
        </w:rPr>
        <w:lastRenderedPageBreak/>
        <w:t xml:space="preserve">как инструмент «цифрового авторитаризма» и шпионажа (по словам директора ФБР К. </w:t>
      </w:r>
      <w:proofErr w:type="spellStart"/>
      <w:r w:rsidRPr="00101620">
        <w:rPr>
          <w:color w:val="0F1115"/>
        </w:rPr>
        <w:t>Рэя</w:t>
      </w:r>
      <w:proofErr w:type="spellEnd"/>
      <w:r w:rsidRPr="00101620">
        <w:rPr>
          <w:color w:val="0F1115"/>
        </w:rPr>
        <w:t xml:space="preserve"> и госсекретаря М. </w:t>
      </w:r>
      <w:proofErr w:type="spellStart"/>
      <w:r w:rsidRPr="00101620">
        <w:rPr>
          <w:color w:val="0F1115"/>
        </w:rPr>
        <w:t>Помпео</w:t>
      </w:r>
      <w:proofErr w:type="spellEnd"/>
      <w:r w:rsidRPr="00101620">
        <w:rPr>
          <w:color w:val="0F1115"/>
        </w:rPr>
        <w:t xml:space="preserve">), поскольку китайские компании, такие как </w:t>
      </w:r>
      <w:proofErr w:type="spellStart"/>
      <w:r w:rsidRPr="00101620">
        <w:rPr>
          <w:color w:val="0F1115"/>
        </w:rPr>
        <w:t>Huawei</w:t>
      </w:r>
      <w:proofErr w:type="spellEnd"/>
      <w:r w:rsidRPr="00101620">
        <w:rPr>
          <w:color w:val="0F1115"/>
        </w:rPr>
        <w:t>, рассматриваются как продолжение Коммунистической партии Китая </w:t>
      </w:r>
      <w:r w:rsidRPr="00102CEB">
        <w:rPr>
          <w:rStyle w:val="a3"/>
          <w:b w:val="0"/>
          <w:color w:val="0F1115"/>
        </w:rPr>
        <w:t>[1]</w:t>
      </w:r>
      <w:r w:rsidRPr="00101620">
        <w:rPr>
          <w:color w:val="0F1115"/>
        </w:rPr>
        <w:t xml:space="preserve">. Опасения Запада связаны с утратой технологического лидерства и рынков сбыта, а также с рисками для безопасности критической инфраструктуры. Тем не менее, как показывает пример с выборами в Аргентине, даже скептически настроенные правительства вынуждены смягчать риторику в пользу Китая, признавая </w:t>
      </w:r>
      <w:r>
        <w:rPr>
          <w:color w:val="0F1115"/>
        </w:rPr>
        <w:t>его ключевую экономическую роль</w:t>
      </w:r>
      <w:r w:rsidRPr="00101620">
        <w:rPr>
          <w:color w:val="0F1115"/>
        </w:rPr>
        <w:t>.</w:t>
      </w:r>
    </w:p>
    <w:p w:rsidR="004239FA" w:rsidRPr="00C14AF3" w:rsidRDefault="004239FA" w:rsidP="004239FA">
      <w:pPr>
        <w:pStyle w:val="ds-markdown-paragraph"/>
        <w:shd w:val="clear" w:color="auto" w:fill="FFFFFF"/>
        <w:spacing w:before="240" w:beforeAutospacing="0"/>
        <w:rPr>
          <w:b/>
          <w:color w:val="0F1115"/>
          <w:shd w:val="clear" w:color="auto" w:fill="FFFFFF"/>
        </w:rPr>
      </w:pPr>
      <w:r w:rsidRPr="00C14AF3">
        <w:rPr>
          <w:color w:val="0F1115"/>
          <w:shd w:val="clear" w:color="auto" w:fill="FFFFFF"/>
        </w:rPr>
        <w:t>Таким образом, Цифровой шелковый путь является инструментом формирования нового типа асимметричной взаимозависимости. Предлагая странам Глобального Юга быстрый цифровой скачок и дешевые технологии, Китай, по сути, ставит их перед сделкой, от которой становится все труднее отказаться</w:t>
      </w:r>
      <w:r w:rsidRPr="00C14AF3">
        <w:rPr>
          <w:b/>
          <w:color w:val="0F1115"/>
          <w:shd w:val="clear" w:color="auto" w:fill="FFFFFF"/>
        </w:rPr>
        <w:t>: </w:t>
      </w:r>
      <w:r w:rsidRPr="00C14AF3">
        <w:rPr>
          <w:rStyle w:val="a3"/>
          <w:b w:val="0"/>
          <w:color w:val="0F1115"/>
          <w:shd w:val="clear" w:color="auto" w:fill="FFFFFF"/>
        </w:rPr>
        <w:t>цена модернизации — утрата цифрового суверенитета и постепенное попадание в орбиту не только технологического, но и политического влияния Пекина</w:t>
      </w:r>
      <w:r w:rsidRPr="00C14AF3">
        <w:rPr>
          <w:b/>
          <w:color w:val="0F1115"/>
          <w:shd w:val="clear" w:color="auto" w:fill="FFFFFF"/>
        </w:rPr>
        <w:t>.</w:t>
      </w:r>
    </w:p>
    <w:p w:rsidR="004239FA" w:rsidRPr="00102CEB" w:rsidRDefault="004239FA" w:rsidP="004239FA">
      <w:pPr>
        <w:pStyle w:val="ds-markdown-paragraph"/>
        <w:shd w:val="clear" w:color="auto" w:fill="FFFFFF"/>
        <w:spacing w:before="240" w:beforeAutospacing="0"/>
        <w:rPr>
          <w:color w:val="0F1115"/>
          <w:shd w:val="clear" w:color="auto" w:fill="FFFFFF"/>
        </w:rPr>
      </w:pPr>
      <w:bookmarkStart w:id="0" w:name="_GoBack"/>
      <w:bookmarkEnd w:id="0"/>
    </w:p>
    <w:p w:rsidR="00C14AF3" w:rsidRPr="00C14AF3" w:rsidRDefault="004239FA" w:rsidP="00C14AF3">
      <w:pPr>
        <w:pStyle w:val="ds-markdown-paragraph"/>
        <w:shd w:val="clear" w:color="auto" w:fill="FFFFFF"/>
        <w:spacing w:before="240" w:beforeAutospacing="0"/>
        <w:rPr>
          <w:color w:val="0F1115"/>
          <w:shd w:val="clear" w:color="auto" w:fill="FFFFFF"/>
        </w:rPr>
      </w:pPr>
      <w:r w:rsidRPr="00102CEB">
        <w:rPr>
          <w:color w:val="0F1115"/>
          <w:shd w:val="clear" w:color="auto" w:fill="FFFFFF"/>
        </w:rPr>
        <w:t>Источники:</w:t>
      </w:r>
    </w:p>
    <w:p w:rsidR="00C14AF3" w:rsidRPr="00C14AF3" w:rsidRDefault="004239FA" w:rsidP="00C14AF3">
      <w:pPr>
        <w:pStyle w:val="ds-markdown-paragraph"/>
        <w:shd w:val="clear" w:color="auto" w:fill="FFFFFF"/>
        <w:spacing w:before="240" w:beforeAutospacing="0"/>
        <w:rPr>
          <w:color w:val="0F1115"/>
          <w:sz w:val="28"/>
        </w:rPr>
      </w:pPr>
      <w:r w:rsidRPr="00102CEB">
        <w:rPr>
          <w:color w:val="0F1115"/>
        </w:rPr>
        <w:t>Арсентьева И. И. Цифровой Шелковый путь КНР: вызовы и возможности для региона Латинской Америки и Карибского бассейна // Вестник Российского университета дружбы народов. Серия: Международные отношения. 2024. Т. 24, № 1. С. 51–64. </w:t>
      </w:r>
      <w:hyperlink r:id="rId6" w:history="1">
        <w:r w:rsidRPr="00102CEB">
          <w:rPr>
            <w:rStyle w:val="a5"/>
            <w:color w:val="0079C1"/>
            <w:shd w:val="clear" w:color="auto" w:fill="FFFFFF"/>
          </w:rPr>
          <w:t>https://journals.rudn.ru/international-relations/article/view/38467</w:t>
        </w:r>
      </w:hyperlink>
      <w:r w:rsidRPr="00102CEB">
        <w:rPr>
          <w:color w:val="0F1115"/>
          <w:sz w:val="28"/>
        </w:rPr>
        <w:t xml:space="preserve"> </w:t>
      </w:r>
    </w:p>
    <w:p w:rsidR="00C14AF3" w:rsidRPr="00C14AF3" w:rsidRDefault="004239FA" w:rsidP="00C14AF3">
      <w:pPr>
        <w:pStyle w:val="ds-markdown-paragraph"/>
        <w:shd w:val="clear" w:color="auto" w:fill="FFFFFF"/>
        <w:spacing w:before="240" w:beforeAutospacing="0"/>
        <w:rPr>
          <w:color w:val="0F1115"/>
        </w:rPr>
      </w:pPr>
      <w:proofErr w:type="spellStart"/>
      <w:r w:rsidRPr="00102CEB">
        <w:rPr>
          <w:color w:val="0F1115"/>
        </w:rPr>
        <w:t>Гамза</w:t>
      </w:r>
      <w:proofErr w:type="spellEnd"/>
      <w:r w:rsidRPr="00102CEB">
        <w:rPr>
          <w:color w:val="0F1115"/>
        </w:rPr>
        <w:t xml:space="preserve"> Л. А. Цифровой Шелковый путь Китая // Проблемы Дальнего Востока. 2022. № 2. С. 63–79. </w:t>
      </w:r>
      <w:hyperlink r:id="rId7" w:history="1">
        <w:r w:rsidRPr="00102CEB">
          <w:rPr>
            <w:rStyle w:val="a5"/>
          </w:rPr>
          <w:t>https://doi.org/10.31857/S0131281</w:t>
        </w:r>
        <w:r w:rsidRPr="00102CEB">
          <w:rPr>
            <w:rStyle w:val="a5"/>
          </w:rPr>
          <w:t>2</w:t>
        </w:r>
        <w:r w:rsidRPr="00102CEB">
          <w:rPr>
            <w:rStyle w:val="a5"/>
          </w:rPr>
          <w:t>0019578-6</w:t>
        </w:r>
      </w:hyperlink>
    </w:p>
    <w:p w:rsidR="004239FA" w:rsidRPr="00102CEB" w:rsidRDefault="004239FA" w:rsidP="00C14AF3">
      <w:pPr>
        <w:pStyle w:val="ds-markdown-paragraph"/>
        <w:shd w:val="clear" w:color="auto" w:fill="FFFFFF"/>
        <w:spacing w:before="240" w:beforeAutospacing="0"/>
        <w:rPr>
          <w:color w:val="0F1115"/>
          <w:shd w:val="clear" w:color="auto" w:fill="FFFFFF"/>
        </w:rPr>
      </w:pPr>
      <w:proofErr w:type="spellStart"/>
      <w:r w:rsidRPr="00102CEB">
        <w:rPr>
          <w:color w:val="0F1115"/>
        </w:rPr>
        <w:t>Зиба</w:t>
      </w:r>
      <w:proofErr w:type="spellEnd"/>
      <w:r w:rsidRPr="00102CEB">
        <w:rPr>
          <w:color w:val="0F1115"/>
        </w:rPr>
        <w:t xml:space="preserve"> Я. Анализ китайской инициативы «Один пояс – один путь» // Международный журнал гуманитарных и естественных наук. 2024. Т. 9, № 1. С. 62–65. </w:t>
      </w:r>
      <w:hyperlink r:id="rId8" w:history="1">
        <w:r w:rsidRPr="00102CEB">
          <w:rPr>
            <w:rStyle w:val="a5"/>
          </w:rPr>
          <w:t>https://doi.org/10.24412/2500-1000-2024-9-1-62-65</w:t>
        </w:r>
      </w:hyperlink>
    </w:p>
    <w:p w:rsidR="00D57A43" w:rsidRPr="004239FA" w:rsidRDefault="00D57A43" w:rsidP="00C14AF3">
      <w:pPr>
        <w:spacing w:line="240" w:lineRule="auto"/>
        <w:rPr>
          <w:lang w:val="en-US"/>
        </w:rPr>
      </w:pPr>
    </w:p>
    <w:sectPr w:rsidR="00D57A43" w:rsidRPr="0042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1884"/>
    <w:multiLevelType w:val="multilevel"/>
    <w:tmpl w:val="7C36C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6519A7"/>
    <w:multiLevelType w:val="multilevel"/>
    <w:tmpl w:val="9420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93D09"/>
    <w:multiLevelType w:val="multilevel"/>
    <w:tmpl w:val="7292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7D"/>
    <w:rsid w:val="000D2E6C"/>
    <w:rsid w:val="004239FA"/>
    <w:rsid w:val="0072707D"/>
    <w:rsid w:val="00C14AF3"/>
    <w:rsid w:val="00D5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2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239FA"/>
    <w:rPr>
      <w:b/>
      <w:bCs/>
    </w:rPr>
  </w:style>
  <w:style w:type="character" w:styleId="a4">
    <w:name w:val="Emphasis"/>
    <w:basedOn w:val="a0"/>
    <w:uiPriority w:val="20"/>
    <w:qFormat/>
    <w:rsid w:val="004239FA"/>
    <w:rPr>
      <w:i/>
      <w:iCs/>
    </w:rPr>
  </w:style>
  <w:style w:type="character" w:styleId="a5">
    <w:name w:val="Hyperlink"/>
    <w:basedOn w:val="a0"/>
    <w:uiPriority w:val="99"/>
    <w:unhideWhenUsed/>
    <w:rsid w:val="004239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239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2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239FA"/>
    <w:rPr>
      <w:b/>
      <w:bCs/>
    </w:rPr>
  </w:style>
  <w:style w:type="character" w:styleId="a4">
    <w:name w:val="Emphasis"/>
    <w:basedOn w:val="a0"/>
    <w:uiPriority w:val="20"/>
    <w:qFormat/>
    <w:rsid w:val="004239FA"/>
    <w:rPr>
      <w:i/>
      <w:iCs/>
    </w:rPr>
  </w:style>
  <w:style w:type="character" w:styleId="a5">
    <w:name w:val="Hyperlink"/>
    <w:basedOn w:val="a0"/>
    <w:uiPriority w:val="99"/>
    <w:unhideWhenUsed/>
    <w:rsid w:val="004239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239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412/2500-1000-2024-9-1-62-6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31857/S013128120019578-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rudn.ru/international-relations/article/view/3846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784</Words>
  <Characters>4471</Characters>
  <Application>Microsoft Office Word</Application>
  <DocSecurity>0</DocSecurity>
  <Lines>37</Lines>
  <Paragraphs>10</Paragraphs>
  <ScaleCrop>false</ScaleCrop>
  <Company>Krokoz™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Бобырева</dc:creator>
  <cp:keywords/>
  <dc:description/>
  <cp:lastModifiedBy>Наталья Бобырева</cp:lastModifiedBy>
  <cp:revision>6</cp:revision>
  <dcterms:created xsi:type="dcterms:W3CDTF">2026-03-09T15:06:00Z</dcterms:created>
  <dcterms:modified xsi:type="dcterms:W3CDTF">2026-03-09T16:23:00Z</dcterms:modified>
</cp:coreProperties>
</file>