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C219E" w14:textId="3E55E417" w:rsidR="00262567" w:rsidRPr="00262567" w:rsidRDefault="00262567" w:rsidP="00262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2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Количественные методы при прогнозировании развития рынка минеральных удобрений </w:t>
      </w:r>
      <w:r w:rsidR="005F6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 контексте</w:t>
      </w:r>
      <w:r w:rsidRPr="00262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обеспечения экономической безопасности стран Глобального Юга</w:t>
      </w:r>
    </w:p>
    <w:p w14:paraId="6052958B" w14:textId="77777777" w:rsidR="00262567" w:rsidRPr="00262567" w:rsidRDefault="00262567" w:rsidP="00262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Комарова Елизавета Вячеславовна</w:t>
      </w:r>
    </w:p>
    <w:p w14:paraId="5B3FEBF5" w14:textId="77777777" w:rsidR="00262567" w:rsidRPr="00262567" w:rsidRDefault="00262567" w:rsidP="00262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Студент, 4 курса бакалавриата</w:t>
      </w:r>
    </w:p>
    <w:p w14:paraId="3E4BF683" w14:textId="77777777" w:rsidR="00262567" w:rsidRPr="00262567" w:rsidRDefault="00262567" w:rsidP="00262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Московский государственный университет имени М.В. Ломоносова,</w:t>
      </w:r>
    </w:p>
    <w:p w14:paraId="033CD7A2" w14:textId="77777777" w:rsidR="00262567" w:rsidRPr="00262567" w:rsidRDefault="00262567" w:rsidP="00262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Институт стран Азии и Африки, Москва, Россия</w:t>
      </w:r>
    </w:p>
    <w:p w14:paraId="502925BC" w14:textId="77777777" w:rsidR="00262567" w:rsidRPr="00262567" w:rsidRDefault="00262567" w:rsidP="00262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5998CDE" w14:textId="16DB6373" w:rsidR="00262567" w:rsidRPr="00262567" w:rsidRDefault="00262567" w:rsidP="002625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современной экономической науке анализ внешнеторговых товаропотоков осуществляется с применением ряда эконометрических моделей, каждая из которых позволяет исследовать рынок под определенным углом и, соответственно, обладает специфическими возможностями и ограничениями. Наиболее широкое распространение получили модель Рикардо, модель </w:t>
      </w:r>
      <w:proofErr w:type="spellStart"/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Хекшера</w:t>
      </w:r>
      <w:proofErr w:type="spellEnd"/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— Олина, новая теория торговли П. Кругмана, а также гравитационная модель внешней торговли [1]. Точность результатов, получаемых в ходе анализа, напрямую зависит от выбора конкретной модели. В связи с этим важным этапом, предшествующим аналитической работе, выступает теоретическое обоснование выбора модели и оценка ее практической применимости для </w:t>
      </w:r>
      <w:r w:rsidR="009062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</w:t>
      </w:r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елей прогнозирования и выработки решений в отношении объекта исследования. В частности, модель, избранная для анализа внешнеторговых потоков минеральных удобрений, должна обладать достаточной гибкостью, чтобы допускать расширение за счет включения специфических показателей глобального рынка минеральных удобрений без </w:t>
      </w:r>
      <w:r w:rsidR="009062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сильного </w:t>
      </w:r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искажения итоговых результатов.</w:t>
      </w:r>
    </w:p>
    <w:p w14:paraId="166C4743" w14:textId="77777777" w:rsidR="005F688B" w:rsidRDefault="00262567" w:rsidP="005F6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Мировой рынок минеральных удобрений сложился во второй половине </w:t>
      </w:r>
      <w:r w:rsidR="0090627C">
        <w:rPr>
          <w:rFonts w:ascii="Times New Roman" w:eastAsia="Times New Roman" w:hAnsi="Times New Roman" w:cs="Times New Roman"/>
          <w:color w:val="000000"/>
          <w:sz w:val="24"/>
          <w:szCs w:val="24"/>
        </w:rPr>
        <w:t>XX</w:t>
      </w:r>
      <w:r w:rsidR="0090627C" w:rsidRPr="009062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627C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ека. Вместе с тем, </w:t>
      </w:r>
      <w:r w:rsidR="005F688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только </w:t>
      </w:r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начале 1990-х гг. на </w:t>
      </w:r>
      <w:r w:rsidR="005F688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этом</w:t>
      </w:r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рынке появились крупнейшие игроки</w:t>
      </w:r>
      <w:r w:rsidR="005F688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доминирование которых сохраняется и в настоящее время. Речь идет о</w:t>
      </w:r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России</w:t>
      </w:r>
      <w:r w:rsidR="005F688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которая сохранила после распада </w:t>
      </w:r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СССР</w:t>
      </w:r>
      <w:r w:rsidR="005F688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весь потенциал производства минеральных удобрений</w:t>
      </w:r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="005F688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 отличие от последнего, направила его на удовлетворение потребностей внешних рынков. А также о</w:t>
      </w:r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Кита</w:t>
      </w:r>
      <w:r w:rsidR="005F688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5F688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начавшем активную интеграцию в мировую рыночную экономику. Поэтому </w:t>
      </w:r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1990 г. следует считать началом трансформации уже существующего мирового рынка минеральных удобрений в современный вид</w:t>
      </w:r>
      <w:r w:rsidR="005F688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который к настоящему моменту определяется периодом в 36 лет (1990</w:t>
      </w:r>
      <w:r w:rsidR="005F688B"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="005F688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2025 гг.).</w:t>
      </w:r>
    </w:p>
    <w:p w14:paraId="7EBDFCE2" w14:textId="50C601B5" w:rsidR="00262567" w:rsidRPr="005F688B" w:rsidRDefault="007805D5" w:rsidP="005F6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Применительно к странам Глобального Юга анализ рынка </w:t>
      </w:r>
      <w:r w:rsidR="00262567"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 этот период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необходим для среднесрочного прогноза</w:t>
      </w:r>
      <w:r w:rsidR="00262567"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5 лет (2026–2030 гг.)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 целью определения дальнейшего направления его развития и принятия стратегических решений в рамках экономической безопасности</w:t>
      </w:r>
      <w:r w:rsidR="00262567"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Столь значительный временной период исследования (41 год) в комплексе с 11 специфическими показателями мирового рынка минеральных удобрений, которые меняются ежегодно, создают большой массив данных для модели. Поэтому при выборе последней необходимо оценивать ее возможность оперированием большим количеством переменных и панельными данными.</w:t>
      </w:r>
    </w:p>
    <w:p w14:paraId="599B5AF1" w14:textId="77777777" w:rsidR="00262567" w:rsidRPr="00262567" w:rsidRDefault="00262567" w:rsidP="002625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 мнению автора, именно гравитационная модель предоставляет наиболее теоретически обоснованный и эмпирически проверенный подход, позволяющий количественно оценить торговые потоки и выявить ключевые факторы, определяющие экспортно-импортные связи между странами. В ходе анализа пар производитель-потребитель с помощью гравитационной модели установлена зависимость стран Глобального Юга от стабильных поставок минеральных удобрений. Поэтому вопросы выбора поставщиков и потребителей на мировом рынке минеральных удобрений представляют интерес в силу превращения последних из средства повышения урожайности в геополитический стратегический ресурс, влияющий на социально-экономическую стабильность и продовольственный суверенитет государства [2]. С учётом этого на мировом рынке минеральных удобрений существует устойчивый запрос на формирование долгосрочных цепочек поставки. В работе рассматривается методика оценки надёжности стран-экспортёров и стран-импортёров минеральных удобрений на </w:t>
      </w:r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основе метода наилучшего-наихудшего сравнения, позволяющего обосновать выбор альтернативы среди нескольких конфликтующих между собой критериев [3]. Приводится перечень специфических для участников рынка минеральных удобрений критериев и показателей для их количественного измерения. Критерии ранжируются и взвешиваются относительно друг друга, что позволяет рассчитать комплексный коэффициент надёжности страны-экспортёра и страны-импортёра. Предлагаемая методика применена не только для анализа отдельных стран, но и для региональных интеграционных блоков стран. Данный подход основан на выявленной в рамках анализа </w:t>
      </w:r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особенности рынка минеральных удобрений, заключающейся в том, что локализация сырья для производства минеральных удобрений, а также демографические и почвенно-климатические условия в целом совпадают с существующими в мире региональными интеграционными организациями.</w:t>
      </w:r>
    </w:p>
    <w:p w14:paraId="37FCBEAC" w14:textId="2BF13C50" w:rsidR="00262567" w:rsidRPr="005F688B" w:rsidRDefault="00262567" w:rsidP="002625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Завершающим этапом обоснования применимости модели к исследованию мирового рынка минеральных удобрений является оценка ее устойчивости с помощью корреляционного и регре</w:t>
      </w:r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ссионного анализа. Построенная в ходе исследования гравитационная модель успешно идентифицирует комплекс значимых факторов, определяющих международную торговлю минеральными удобрениями. </w:t>
      </w:r>
      <w:r w:rsidR="001B7E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</w:t>
      </w:r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пецификация </w:t>
      </w:r>
      <w:r w:rsidR="001B7E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модели </w:t>
      </w:r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обладает высокой объяснительной силой и статистической надежностью. Полученный с её помощью прогноз оценивается как высоковероятный</w:t>
      </w:r>
      <w:r w:rsidR="009062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90627C" w:rsidRPr="005F68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(</w:t>
      </w:r>
      <w:r w:rsidR="009062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</w:t>
      </w:r>
      <w:r w:rsidR="0090627C" w:rsidRPr="009062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ru-RU"/>
        </w:rPr>
        <w:t>2</w:t>
      </w:r>
      <w:r w:rsidR="0090627C" w:rsidRPr="009062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=0,</w:t>
      </w:r>
      <w:r w:rsidR="0090627C" w:rsidRPr="005F68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76).</w:t>
      </w:r>
    </w:p>
    <w:p w14:paraId="5A546D11" w14:textId="25912877" w:rsidR="00B427BC" w:rsidRPr="00B427BC" w:rsidRDefault="00262567" w:rsidP="00E24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Таким образом, прогноз развития мирового рынка минеральных удобрений, полученный на основе данных гравитационной модели, </w:t>
      </w:r>
      <w:r w:rsidR="001B7E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может быть использован для повышения устойчивости государств к политическим, логистическим и экономическим шокам. Указанное прежде всего относится к странам Глобального Юга, где </w:t>
      </w:r>
      <w:r w:rsidR="00B11F59" w:rsidRPr="00E24BF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/>
        </w:rPr>
        <w:t>прогнозирование и количественные методы позволяют точнее выстраивать агр</w:t>
      </w:r>
      <w:r w:rsidR="00E24BFB" w:rsidRPr="00E24BF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/>
        </w:rPr>
        <w:t>арн</w:t>
      </w:r>
      <w:r w:rsidR="00E24BF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/>
        </w:rPr>
        <w:t>ую</w:t>
      </w:r>
      <w:r w:rsidR="00E24BFB" w:rsidRPr="00E24BF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bookmarkStart w:id="0" w:name="_GoBack"/>
      <w:bookmarkEnd w:id="0"/>
      <w:r w:rsidR="00B11F59" w:rsidRPr="00E24BF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/>
        </w:rPr>
        <w:t>политику государства, что, в свою очередь, повышает шансы на обеспечение хотя бы продовольственной безопасности</w:t>
      </w:r>
      <w:r w:rsidR="00E24B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</w:t>
      </w:r>
      <w:r w:rsidR="001B7E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Количественные методы позволяют в рамках существующих жестких цепочек поставок выявить наиболее надежных контрагентов</w:t>
      </w:r>
      <w:r w:rsidR="00B427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</w:t>
      </w:r>
      <w:r w:rsidR="001B7E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минимизировать риски разрыва логистических связей. Как показывают примеры </w:t>
      </w:r>
      <w:r w:rsidR="00B427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событий Арабской весны 2011 г. и</w:t>
      </w:r>
      <w:r w:rsidR="003D18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особенно</w:t>
      </w:r>
      <w:r w:rsidR="00B427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1B7E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Шри-Ланки 2021</w:t>
      </w:r>
      <w:r w:rsidR="000F326F"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="001B7E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2022 гг. зависимость продовольственной </w:t>
      </w:r>
      <w:r w:rsidR="00B427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безопасности</w:t>
      </w:r>
      <w:r w:rsidR="001B7E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 социального мира от бесперебойных поставок </w:t>
      </w:r>
      <w:r w:rsidR="00B427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минеральный </w:t>
      </w:r>
      <w:r w:rsidR="001B7E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удобрений критична. </w:t>
      </w:r>
      <w:r w:rsidR="00B427BC" w:rsidRPr="00B427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Предложенная методика количественного анализа позволяет оценивать зоны уязвимости в существующих цепочках поставок, чтобы предотвратить повторение подобных социально-гуманитарных потрясений в регионах с нарастающей нестабильностью.</w:t>
      </w:r>
    </w:p>
    <w:p w14:paraId="7FFDD956" w14:textId="77777777" w:rsidR="00262567" w:rsidRPr="00262567" w:rsidRDefault="00262567" w:rsidP="00262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887A437" w14:textId="77777777" w:rsidR="00262567" w:rsidRPr="00262567" w:rsidRDefault="00262567" w:rsidP="00262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Источники и литература</w:t>
      </w:r>
    </w:p>
    <w:p w14:paraId="16B3A215" w14:textId="77777777" w:rsidR="00262567" w:rsidRPr="00262567" w:rsidRDefault="00262567" w:rsidP="0026256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Шайтанова</w:t>
      </w:r>
      <w:proofErr w:type="spellEnd"/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Н. А. Гравитационные модели и возможность их применения при прогнозировании внешней торговли Российской Федерации и Республики Беларусь // Информационные технологии управления в экономике. </w:t>
      </w:r>
      <w:proofErr w:type="gramStart"/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2006 :</w:t>
      </w:r>
      <w:proofErr w:type="gramEnd"/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материалы </w:t>
      </w:r>
      <w:proofErr w:type="spellStart"/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респуб</w:t>
      </w:r>
      <w:proofErr w:type="spellEnd"/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науч.-практ. конф., г. Брест, 25–26 апреля 2006 г. / под общ. ред. С. А. Тузика. </w:t>
      </w:r>
      <w:proofErr w:type="gramStart"/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Брест :</w:t>
      </w:r>
      <w:proofErr w:type="gramEnd"/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Изд-во БрГУ, 2006. C. 96–105.</w:t>
      </w:r>
    </w:p>
    <w:p w14:paraId="045DB9C7" w14:textId="27AB05B9" w:rsidR="00262567" w:rsidRPr="00262567" w:rsidRDefault="00262567" w:rsidP="0026256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Рынок минеральных удобрений в 2022 году: государственное регулирование и санкции // Деловой профиль. 2022. – URL: https://delprof.ru/press-center/open-analytics/rynok-mineralnykh-udobreniy-v-2022-godu-gosudarstvennoe-regulirovanie-i-sanktsii/?ysclid=lol7alf22a287523386 (дата обращения: 2</w:t>
      </w:r>
      <w:r w:rsidR="00BC195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.0</w:t>
      </w:r>
      <w:r w:rsidR="00BC195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.2026).</w:t>
      </w:r>
    </w:p>
    <w:p w14:paraId="1AACB8F9" w14:textId="77777777" w:rsidR="00262567" w:rsidRPr="00262567" w:rsidRDefault="00262567" w:rsidP="0026256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625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Сергиенко О.И., Нечепуренко А.И., Рахманов Ю.А., Василенок В.Л. Эколого-экономическое обоснование принятия решений при выборе технологий термической утилизации отходов с учетом ранжирования критериев устойчивости // Научный журнал НИУ ИТМО. Серия «Экономика и Экологический менеджмент». - 2023. - №2. - С. 150-163.</w:t>
      </w:r>
    </w:p>
    <w:p w14:paraId="6F40EC57" w14:textId="77777777" w:rsidR="00262567" w:rsidRPr="00262567" w:rsidRDefault="00262567">
      <w:pPr>
        <w:rPr>
          <w:rFonts w:ascii="Times New Roman" w:hAnsi="Times New Roman" w:cs="Times New Roman"/>
          <w:sz w:val="24"/>
          <w:szCs w:val="24"/>
        </w:rPr>
      </w:pPr>
    </w:p>
    <w:sectPr w:rsidR="00262567" w:rsidRPr="00262567" w:rsidSect="00262567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A6623E"/>
    <w:multiLevelType w:val="multilevel"/>
    <w:tmpl w:val="7DA6B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67"/>
    <w:rsid w:val="00007463"/>
    <w:rsid w:val="000F326F"/>
    <w:rsid w:val="001B7E20"/>
    <w:rsid w:val="00262567"/>
    <w:rsid w:val="003D18D3"/>
    <w:rsid w:val="005C585D"/>
    <w:rsid w:val="005F688B"/>
    <w:rsid w:val="007805D5"/>
    <w:rsid w:val="00796685"/>
    <w:rsid w:val="00867397"/>
    <w:rsid w:val="008F6F69"/>
    <w:rsid w:val="0090627C"/>
    <w:rsid w:val="009343C4"/>
    <w:rsid w:val="00B11F59"/>
    <w:rsid w:val="00B427BC"/>
    <w:rsid w:val="00BC1958"/>
    <w:rsid w:val="00CB0D34"/>
    <w:rsid w:val="00DE479F"/>
    <w:rsid w:val="00E24BFB"/>
    <w:rsid w:val="00E6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B373E"/>
  <w15:chartTrackingRefBased/>
  <w15:docId w15:val="{45F66505-B64B-4433-8A82-69F4C5B6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2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796685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79668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79668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9668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9668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6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627C"/>
    <w:rPr>
      <w:rFonts w:ascii="Segoe UI" w:hAnsi="Segoe UI" w:cs="Segoe UI"/>
      <w:sz w:val="18"/>
      <w:szCs w:val="18"/>
    </w:rPr>
  </w:style>
  <w:style w:type="paragraph" w:customStyle="1" w:styleId="p1">
    <w:name w:val="p1"/>
    <w:basedOn w:val="a"/>
    <w:rsid w:val="00B11F59"/>
    <w:pPr>
      <w:spacing w:after="0" w:line="240" w:lineRule="auto"/>
    </w:pPr>
    <w:rPr>
      <w:rFonts w:ascii=".SF UI" w:hAnsi=".SF UI" w:cs="Times New Roman"/>
      <w:sz w:val="18"/>
      <w:szCs w:val="18"/>
      <w:lang w:val="ru-RU" w:eastAsia="ru-RU"/>
    </w:rPr>
  </w:style>
  <w:style w:type="character" w:customStyle="1" w:styleId="s1">
    <w:name w:val="s1"/>
    <w:basedOn w:val="a0"/>
    <w:rsid w:val="00B11F59"/>
    <w:rPr>
      <w:rFonts w:ascii=".SFUI-Regular" w:hAnsi=".SFUI-Regular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9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1065</Words>
  <Characters>6077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Комарова</dc:creator>
  <cp:keywords/>
  <dc:description/>
  <cp:lastModifiedBy>Елизавета Комарова</cp:lastModifiedBy>
  <cp:revision>11</cp:revision>
  <dcterms:created xsi:type="dcterms:W3CDTF">2026-02-27T06:54:00Z</dcterms:created>
  <dcterms:modified xsi:type="dcterms:W3CDTF">2026-03-01T18:50:00Z</dcterms:modified>
</cp:coreProperties>
</file>