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E111B" w14:textId="77777777" w:rsidR="00AE5818" w:rsidRDefault="00A7385B" w:rsidP="00AE5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E5818">
        <w:rPr>
          <w:rFonts w:ascii="Times New Roman" w:hAnsi="Times New Roman" w:cs="Times New Roman"/>
          <w:b/>
          <w:bCs/>
          <w:sz w:val="24"/>
          <w:szCs w:val="24"/>
          <w:lang w:val="ru-RU"/>
        </w:rPr>
        <w:t>Лексико-фразеологическая репрезентация «лицемерия» в русском и китайском языках : сопоставительный аспект</w:t>
      </w:r>
    </w:p>
    <w:p w14:paraId="63AADFE9" w14:textId="6459D06F" w:rsidR="00A63A7F" w:rsidRPr="00AE5818" w:rsidRDefault="00A7385B" w:rsidP="00AE5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E5818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Ма </w:t>
      </w:r>
      <w:proofErr w:type="spellStart"/>
      <w:r w:rsidRPr="00AE5818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Жань</w:t>
      </w:r>
      <w:proofErr w:type="spellEnd"/>
    </w:p>
    <w:p w14:paraId="2D5CCDC7" w14:textId="77777777" w:rsidR="00A63A7F" w:rsidRPr="00AE5818" w:rsidRDefault="00A63A7F" w:rsidP="00AE5818">
      <w:pPr>
        <w:pStyle w:val="a5"/>
        <w:spacing w:after="0" w:line="240" w:lineRule="auto"/>
        <w:jc w:val="center"/>
        <w:rPr>
          <w:rFonts w:ascii="Times New Roman" w:eastAsia="-webkit-standard" w:hAnsi="Times New Roman" w:cs="Times New Roman"/>
          <w:i/>
          <w:color w:val="000000"/>
          <w:szCs w:val="24"/>
        </w:rPr>
      </w:pPr>
      <w:r w:rsidRPr="00AE5818">
        <w:rPr>
          <w:rFonts w:ascii="Times New Roman" w:eastAsia="-webkit-standard" w:hAnsi="Times New Roman" w:cs="Times New Roman"/>
          <w:i/>
          <w:color w:val="000000"/>
          <w:szCs w:val="24"/>
        </w:rPr>
        <w:t>Аспирант</w:t>
      </w:r>
    </w:p>
    <w:p w14:paraId="5C4F26DB" w14:textId="306C810A" w:rsidR="00A63A7F" w:rsidRPr="00AE5818" w:rsidRDefault="00A63A7F" w:rsidP="00AE5818">
      <w:pPr>
        <w:pStyle w:val="a5"/>
        <w:spacing w:after="0" w:line="240" w:lineRule="auto"/>
        <w:jc w:val="center"/>
        <w:rPr>
          <w:rFonts w:ascii="Times New Roman" w:eastAsia="-webkit-standard" w:hAnsi="Times New Roman" w:cs="Times New Roman"/>
          <w:i/>
          <w:color w:val="000000"/>
          <w:szCs w:val="24"/>
        </w:rPr>
      </w:pPr>
      <w:r w:rsidRPr="00AE5818">
        <w:rPr>
          <w:rFonts w:ascii="Times New Roman" w:eastAsia="-webkit-standard" w:hAnsi="Times New Roman" w:cs="Times New Roman"/>
          <w:i/>
          <w:color w:val="000000"/>
          <w:szCs w:val="24"/>
        </w:rPr>
        <w:t xml:space="preserve">Московский государственный университет имени </w:t>
      </w:r>
      <w:proofErr w:type="spellStart"/>
      <w:r w:rsidRPr="00AE5818">
        <w:rPr>
          <w:rFonts w:ascii="Times New Roman" w:eastAsia="-webkit-standard" w:hAnsi="Times New Roman" w:cs="Times New Roman"/>
          <w:i/>
          <w:color w:val="000000"/>
          <w:szCs w:val="24"/>
        </w:rPr>
        <w:t>М.В.Ломоносова</w:t>
      </w:r>
      <w:proofErr w:type="spellEnd"/>
      <w:r w:rsidRPr="00AE5818">
        <w:rPr>
          <w:rFonts w:ascii="Times New Roman" w:eastAsia="-webkit-standard" w:hAnsi="Times New Roman" w:cs="Times New Roman"/>
          <w:i/>
          <w:color w:val="000000"/>
          <w:szCs w:val="24"/>
        </w:rPr>
        <w:t>,</w:t>
      </w:r>
    </w:p>
    <w:p w14:paraId="6392780C" w14:textId="630E6FED" w:rsidR="00A63A7F" w:rsidRPr="00AE5818" w:rsidRDefault="00AE5818" w:rsidP="00AE5818">
      <w:pPr>
        <w:pStyle w:val="a5"/>
        <w:spacing w:after="0" w:line="240" w:lineRule="auto"/>
        <w:jc w:val="center"/>
        <w:rPr>
          <w:rFonts w:ascii="Times New Roman" w:eastAsia="-webkit-standard" w:hAnsi="Times New Roman" w:cs="Times New Roman"/>
          <w:i/>
          <w:color w:val="000000"/>
          <w:szCs w:val="24"/>
        </w:rPr>
      </w:pPr>
      <w:r w:rsidRPr="00AE5818">
        <w:rPr>
          <w:rFonts w:ascii="Times New Roman" w:eastAsia="-webkit-standard" w:hAnsi="Times New Roman" w:cs="Times New Roman"/>
          <w:i/>
          <w:color w:val="000000"/>
          <w:szCs w:val="24"/>
        </w:rPr>
        <w:t>ф</w:t>
      </w:r>
      <w:r w:rsidR="00A63A7F" w:rsidRPr="00AE5818">
        <w:rPr>
          <w:rFonts w:ascii="Times New Roman" w:eastAsia="-webkit-standard" w:hAnsi="Times New Roman" w:cs="Times New Roman"/>
          <w:i/>
          <w:color w:val="000000"/>
          <w:szCs w:val="24"/>
        </w:rPr>
        <w:t>акультет иностранных языков и регионоведения, Москва, Россия</w:t>
      </w:r>
    </w:p>
    <w:p w14:paraId="0514520F" w14:textId="2D3DCCB6" w:rsidR="00A63A7F" w:rsidRPr="00C17A17" w:rsidRDefault="00A63A7F" w:rsidP="00AE5818">
      <w:pPr>
        <w:pStyle w:val="a5"/>
        <w:spacing w:after="0" w:line="240" w:lineRule="auto"/>
        <w:jc w:val="center"/>
        <w:rPr>
          <w:rFonts w:ascii="Times New Roman" w:eastAsiaTheme="minorEastAsia" w:hAnsi="Times New Roman" w:cs="Times New Roman"/>
          <w:i/>
          <w:color w:val="000000"/>
          <w:szCs w:val="24"/>
          <w:lang w:eastAsia="zh-CN"/>
        </w:rPr>
      </w:pPr>
      <w:r w:rsidRPr="00AE5818">
        <w:rPr>
          <w:rFonts w:ascii="Times New Roman" w:eastAsia="-webkit-standard" w:hAnsi="Times New Roman" w:cs="Times New Roman"/>
          <w:i/>
          <w:color w:val="000000"/>
          <w:szCs w:val="24"/>
          <w:lang w:val="fr-FR"/>
        </w:rPr>
        <w:t>E</w:t>
      </w:r>
      <w:r w:rsidRPr="00C17A17">
        <w:rPr>
          <w:rFonts w:ascii="Times New Roman" w:eastAsia="-webkit-standard" w:hAnsi="Times New Roman" w:cs="Times New Roman"/>
          <w:i/>
          <w:color w:val="000000"/>
          <w:szCs w:val="24"/>
        </w:rPr>
        <w:t>–</w:t>
      </w:r>
      <w:r w:rsidRPr="00AE5818">
        <w:rPr>
          <w:rFonts w:ascii="Times New Roman" w:eastAsia="-webkit-standard" w:hAnsi="Times New Roman" w:cs="Times New Roman"/>
          <w:i/>
          <w:color w:val="000000"/>
          <w:szCs w:val="24"/>
          <w:lang w:val="fr-FR"/>
        </w:rPr>
        <w:t>mail</w:t>
      </w:r>
      <w:r w:rsidRPr="00C17A17">
        <w:rPr>
          <w:rFonts w:ascii="Times New Roman" w:eastAsia="-webkit-standard" w:hAnsi="Times New Roman" w:cs="Times New Roman"/>
          <w:i/>
          <w:color w:val="000000"/>
          <w:szCs w:val="24"/>
        </w:rPr>
        <w:t>:</w:t>
      </w:r>
      <w:r w:rsidRPr="00C17A17">
        <w:rPr>
          <w:rFonts w:ascii="Times New Roman" w:eastAsia="-webkit-standard" w:hAnsi="Times New Roman" w:cs="Times New Roman"/>
          <w:i/>
          <w:color w:val="000000"/>
          <w:szCs w:val="24"/>
          <w:lang w:eastAsia="zh-CN"/>
        </w:rPr>
        <w:t xml:space="preserve"> </w:t>
      </w:r>
      <w:r w:rsidR="00AE5818" w:rsidRPr="00AE5818">
        <w:rPr>
          <w:rFonts w:ascii="Times New Roman" w:eastAsiaTheme="minorEastAsia" w:hAnsi="Times New Roman" w:cs="Times New Roman"/>
          <w:i/>
          <w:color w:val="000000"/>
          <w:szCs w:val="24"/>
          <w:lang w:val="fr-FR" w:eastAsia="zh-CN"/>
        </w:rPr>
        <w:t>mranna</w:t>
      </w:r>
      <w:r w:rsidR="00AE5818" w:rsidRPr="00C17A17">
        <w:rPr>
          <w:rFonts w:ascii="Times New Roman" w:eastAsiaTheme="minorEastAsia" w:hAnsi="Times New Roman" w:cs="Times New Roman"/>
          <w:i/>
          <w:color w:val="000000"/>
          <w:szCs w:val="24"/>
          <w:lang w:eastAsia="zh-CN"/>
        </w:rPr>
        <w:t>0611</w:t>
      </w:r>
      <w:r w:rsidRPr="00C17A17">
        <w:rPr>
          <w:rFonts w:ascii="Times New Roman" w:eastAsiaTheme="minorEastAsia" w:hAnsi="Times New Roman" w:cs="Times New Roman"/>
          <w:i/>
          <w:color w:val="000000"/>
          <w:szCs w:val="24"/>
          <w:lang w:eastAsia="zh-CN"/>
        </w:rPr>
        <w:t>@</w:t>
      </w:r>
      <w:r w:rsidR="00AE5818" w:rsidRPr="00C17A17">
        <w:rPr>
          <w:rFonts w:ascii="Times New Roman" w:eastAsiaTheme="minorEastAsia" w:hAnsi="Times New Roman" w:cs="Times New Roman"/>
          <w:i/>
          <w:color w:val="000000"/>
          <w:szCs w:val="24"/>
          <w:lang w:eastAsia="zh-CN"/>
        </w:rPr>
        <w:t>163</w:t>
      </w:r>
      <w:r w:rsidRPr="00C17A17">
        <w:rPr>
          <w:rFonts w:ascii="Times New Roman" w:eastAsiaTheme="minorEastAsia" w:hAnsi="Times New Roman" w:cs="Times New Roman"/>
          <w:i/>
          <w:color w:val="000000"/>
          <w:szCs w:val="24"/>
          <w:lang w:eastAsia="zh-CN"/>
        </w:rPr>
        <w:t>.</w:t>
      </w:r>
      <w:r w:rsidRPr="00AE5818">
        <w:rPr>
          <w:rFonts w:ascii="Times New Roman" w:eastAsiaTheme="minorEastAsia" w:hAnsi="Times New Roman" w:cs="Times New Roman"/>
          <w:i/>
          <w:color w:val="000000"/>
          <w:szCs w:val="24"/>
          <w:lang w:val="fr-FR" w:eastAsia="zh-CN"/>
        </w:rPr>
        <w:t>com</w:t>
      </w:r>
    </w:p>
    <w:p w14:paraId="00000002" w14:textId="39C5C401" w:rsidR="00E031CB" w:rsidRPr="00AE5818" w:rsidRDefault="00000000" w:rsidP="00A7385B">
      <w:pPr>
        <w:spacing w:after="0" w:line="240" w:lineRule="auto"/>
        <w:ind w:firstLine="397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AE5818">
        <w:rPr>
          <w:rFonts w:ascii="Times New Roman" w:eastAsia="宋体" w:hAnsi="Times New Roman" w:cs="Times New Roman"/>
          <w:sz w:val="24"/>
          <w:szCs w:val="24"/>
        </w:rPr>
        <w:t xml:space="preserve">В современной лингвистике мораль рассматривается как культурно обусловленная форма ценностной оценки поведения. Как подчёркивает Г. Г. </w:t>
      </w:r>
      <w:proofErr w:type="spellStart"/>
      <w:r w:rsidRPr="00AE5818">
        <w:rPr>
          <w:rFonts w:ascii="Times New Roman" w:eastAsia="宋体" w:hAnsi="Times New Roman" w:cs="Times New Roman"/>
          <w:sz w:val="24"/>
          <w:szCs w:val="24"/>
        </w:rPr>
        <w:t>Слышкин</w:t>
      </w:r>
      <w:proofErr w:type="spellEnd"/>
      <w:r w:rsidRPr="00AE5818">
        <w:rPr>
          <w:rFonts w:ascii="Times New Roman" w:eastAsia="宋体" w:hAnsi="Times New Roman" w:cs="Times New Roman"/>
          <w:sz w:val="24"/>
          <w:szCs w:val="24"/>
        </w:rPr>
        <w:t>, концепт формируется лишь тогда, когда явление «становится объектом оценки» [3, с. 11], а сама оценка, по Н. Д. Арутюновой, является «социально обусловленной» и определяется нормами, «принятыми в том или другом обществе» [1, с. 6]. В этом контексте особый интерес представляет феномен «лицемерия», который в христианской духовно-нравственной традиции понимается как «противоположное тела с душой устроение, переплетённое всякими вымыслами» (</w:t>
      </w:r>
      <w:proofErr w:type="spellStart"/>
      <w:r w:rsidRPr="00AE5818">
        <w:rPr>
          <w:rFonts w:ascii="Times New Roman" w:eastAsia="宋体" w:hAnsi="Times New Roman" w:cs="Times New Roman"/>
          <w:sz w:val="24"/>
          <w:szCs w:val="24"/>
        </w:rPr>
        <w:t>Иоанн</w:t>
      </w:r>
      <w:r w:rsidR="00A807A1" w:rsidRPr="00AE5818">
        <w:rPr>
          <w:rFonts w:ascii="Times New Roman" w:eastAsia="宋体" w:hAnsi="Times New Roman" w:cs="Times New Roman"/>
          <w:sz w:val="24"/>
          <w:szCs w:val="24"/>
        </w:rPr>
        <w:t>a</w:t>
      </w:r>
      <w:proofErr w:type="spellEnd"/>
      <w:r w:rsidRPr="00AE5818">
        <w:rPr>
          <w:rFonts w:ascii="Times New Roman" w:eastAsia="宋体" w:hAnsi="Times New Roman" w:cs="Times New Roman"/>
          <w:sz w:val="24"/>
          <w:szCs w:val="24"/>
        </w:rPr>
        <w:t xml:space="preserve"> Лествичник) [7], то есть как расхождение внешнего и внутреннего.</w:t>
      </w:r>
    </w:p>
    <w:p w14:paraId="00000003" w14:textId="77777777" w:rsidR="00E031CB" w:rsidRPr="00AE5818" w:rsidRDefault="00000000" w:rsidP="00A7385B">
      <w:pPr>
        <w:spacing w:after="0" w:line="240" w:lineRule="auto"/>
        <w:ind w:firstLine="397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395A33">
        <w:rPr>
          <w:rFonts w:ascii="Times New Roman" w:eastAsia="宋体" w:hAnsi="Times New Roman" w:cs="Times New Roman"/>
          <w:sz w:val="24"/>
          <w:szCs w:val="24"/>
        </w:rPr>
        <w:t xml:space="preserve">Цель </w:t>
      </w:r>
      <w:r w:rsidRPr="00AE5818">
        <w:rPr>
          <w:rFonts w:ascii="Times New Roman" w:eastAsia="宋体" w:hAnsi="Times New Roman" w:cs="Times New Roman"/>
          <w:sz w:val="24"/>
          <w:szCs w:val="24"/>
        </w:rPr>
        <w:t>исследования заключается в выявлении и сопоставительном описании семантических, аксиологических и лингвокультурологических особенностей лексико-фразеологической репрезентации лицемерия в русском и китайском языках.</w:t>
      </w:r>
    </w:p>
    <w:p w14:paraId="00000004" w14:textId="77777777" w:rsidR="00E031CB" w:rsidRPr="00AE5818" w:rsidRDefault="00000000" w:rsidP="00A7385B">
      <w:pPr>
        <w:spacing w:after="0" w:line="240" w:lineRule="auto"/>
        <w:ind w:firstLine="397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AE5818">
        <w:rPr>
          <w:rFonts w:ascii="Times New Roman" w:eastAsia="宋体" w:hAnsi="Times New Roman" w:cs="Times New Roman"/>
          <w:sz w:val="24"/>
          <w:szCs w:val="24"/>
        </w:rPr>
        <w:t xml:space="preserve">В «Большом толковом словаре русского языка» под ред. С. А. Кузнецова </w:t>
      </w:r>
      <w:r w:rsidRPr="00AE5818">
        <w:rPr>
          <w:rFonts w:ascii="Times New Roman" w:eastAsia="宋体" w:hAnsi="Times New Roman" w:cs="Times New Roman"/>
          <w:i/>
          <w:iCs/>
          <w:sz w:val="24"/>
          <w:szCs w:val="24"/>
        </w:rPr>
        <w:t>лицемерие</w:t>
      </w:r>
      <w:r w:rsidRPr="00AE5818">
        <w:rPr>
          <w:rFonts w:ascii="Times New Roman" w:eastAsia="宋体" w:hAnsi="Times New Roman" w:cs="Times New Roman"/>
          <w:sz w:val="24"/>
          <w:szCs w:val="24"/>
        </w:rPr>
        <w:t xml:space="preserve"> определяется как «несоответствие слов, поступков человека его истинным чувствам, убеждениям, намерениям; притворство, неискренность» [2]. В «Современном китайском словаре» </w:t>
      </w:r>
      <w:r w:rsidRPr="00AE5818">
        <w:rPr>
          <w:rFonts w:ascii="Times New Roman" w:eastAsia="宋体" w:hAnsi="Times New Roman" w:cs="Times New Roman"/>
          <w:i/>
          <w:iCs/>
          <w:sz w:val="24"/>
          <w:szCs w:val="24"/>
        </w:rPr>
        <w:t>лицемерие</w:t>
      </w:r>
      <w:r w:rsidRPr="00AE5818">
        <w:rPr>
          <w:rFonts w:ascii="Times New Roman" w:eastAsia="宋体" w:hAnsi="Times New Roman" w:cs="Times New Roman"/>
          <w:sz w:val="24"/>
          <w:szCs w:val="24"/>
        </w:rPr>
        <w:t xml:space="preserve"> («</w:t>
      </w:r>
      <w:r w:rsidRPr="00AE5818">
        <w:rPr>
          <w:rFonts w:ascii="Times New Roman" w:eastAsia="宋体" w:hAnsi="Times New Roman" w:cs="Times New Roman"/>
          <w:sz w:val="24"/>
          <w:szCs w:val="24"/>
        </w:rPr>
        <w:t>虚伪</w:t>
      </w:r>
      <w:r w:rsidRPr="00AE5818">
        <w:rPr>
          <w:rFonts w:ascii="Times New Roman" w:eastAsia="宋体" w:hAnsi="Times New Roman" w:cs="Times New Roman"/>
          <w:sz w:val="24"/>
          <w:szCs w:val="24"/>
        </w:rPr>
        <w:t>») трактуется как «</w:t>
      </w:r>
      <w:r w:rsidRPr="00AE5818">
        <w:rPr>
          <w:rFonts w:ascii="Times New Roman" w:eastAsia="宋体" w:hAnsi="Times New Roman" w:cs="Times New Roman"/>
          <w:sz w:val="24"/>
          <w:szCs w:val="24"/>
        </w:rPr>
        <w:t>不真实；虚假</w:t>
      </w:r>
      <w:r w:rsidRPr="00AE5818">
        <w:rPr>
          <w:rFonts w:ascii="Times New Roman" w:eastAsia="宋体" w:hAnsi="Times New Roman" w:cs="Times New Roman"/>
          <w:sz w:val="24"/>
          <w:szCs w:val="24"/>
        </w:rPr>
        <w:t>» («неподлинный; ложный») [4].</w:t>
      </w:r>
    </w:p>
    <w:p w14:paraId="00000005" w14:textId="77777777" w:rsidR="00E031CB" w:rsidRPr="00AE5818" w:rsidRDefault="00000000" w:rsidP="00A7385B">
      <w:pPr>
        <w:spacing w:after="0" w:line="240" w:lineRule="auto"/>
        <w:ind w:firstLine="397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AE5818">
        <w:rPr>
          <w:rFonts w:ascii="Times New Roman" w:eastAsia="宋体" w:hAnsi="Times New Roman" w:cs="Times New Roman"/>
          <w:sz w:val="24"/>
          <w:szCs w:val="24"/>
        </w:rPr>
        <w:t>В русском и китайском языках понятие «лицемерия» репрезентируется как на уровне лексических единиц, так и в составе устойчивых выражений. В ходе анализа были выделены две основные семантические группы.</w:t>
      </w:r>
    </w:p>
    <w:p w14:paraId="00000006" w14:textId="77777777" w:rsidR="00E031CB" w:rsidRPr="00AE5818" w:rsidRDefault="00000000" w:rsidP="00A7385B">
      <w:pPr>
        <w:spacing w:after="0" w:line="240" w:lineRule="auto"/>
        <w:ind w:firstLine="397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AE5818">
        <w:rPr>
          <w:rFonts w:ascii="Times New Roman" w:eastAsia="宋体" w:hAnsi="Times New Roman" w:cs="Times New Roman"/>
          <w:sz w:val="24"/>
          <w:szCs w:val="24"/>
        </w:rPr>
        <w:t>Первая группа связана с расхождением внешнего и внутреннего. Внутренняя сфера преимущественно маркируется образом «сердца» как центра искренности, тогда как внешняя актуализируется через речевые проявления. В китайском языке данная модель представлена идиомами «</w:t>
      </w:r>
      <w:r w:rsidRPr="00AE5818">
        <w:rPr>
          <w:rFonts w:ascii="Times New Roman" w:eastAsia="宋体" w:hAnsi="Times New Roman" w:cs="Times New Roman"/>
          <w:sz w:val="24"/>
          <w:szCs w:val="24"/>
        </w:rPr>
        <w:t>口是心非</w:t>
      </w:r>
      <w:r w:rsidRPr="00AE5818">
        <w:rPr>
          <w:rFonts w:ascii="Times New Roman" w:eastAsia="宋体" w:hAnsi="Times New Roman" w:cs="Times New Roman"/>
          <w:sz w:val="24"/>
          <w:szCs w:val="24"/>
        </w:rPr>
        <w:t>» (букв. «рот да, сердце нет»), «</w:t>
      </w:r>
      <w:r w:rsidRPr="00AE5818">
        <w:rPr>
          <w:rFonts w:ascii="Times New Roman" w:eastAsia="宋体" w:hAnsi="Times New Roman" w:cs="Times New Roman"/>
          <w:sz w:val="24"/>
          <w:szCs w:val="24"/>
        </w:rPr>
        <w:t>心口不一</w:t>
      </w:r>
      <w:r w:rsidRPr="00AE5818">
        <w:rPr>
          <w:rFonts w:ascii="Times New Roman" w:eastAsia="宋体" w:hAnsi="Times New Roman" w:cs="Times New Roman"/>
          <w:sz w:val="24"/>
          <w:szCs w:val="24"/>
        </w:rPr>
        <w:t>» (букв. «сердце и рот не совпадают»), «</w:t>
      </w:r>
      <w:r w:rsidRPr="00AE5818">
        <w:rPr>
          <w:rFonts w:ascii="Times New Roman" w:eastAsia="宋体" w:hAnsi="Times New Roman" w:cs="Times New Roman"/>
          <w:sz w:val="24"/>
          <w:szCs w:val="24"/>
        </w:rPr>
        <w:t>佛口蛇心</w:t>
      </w:r>
      <w:r w:rsidRPr="00AE5818">
        <w:rPr>
          <w:rFonts w:ascii="Times New Roman" w:eastAsia="宋体" w:hAnsi="Times New Roman" w:cs="Times New Roman"/>
          <w:sz w:val="24"/>
          <w:szCs w:val="24"/>
        </w:rPr>
        <w:t>» (букв. «рот Будды, сердце змеи»), «</w:t>
      </w:r>
      <w:r w:rsidRPr="00AE5818">
        <w:rPr>
          <w:rFonts w:ascii="Times New Roman" w:eastAsia="宋体" w:hAnsi="Times New Roman" w:cs="Times New Roman"/>
          <w:sz w:val="24"/>
          <w:szCs w:val="24"/>
        </w:rPr>
        <w:t>口蜜腹剑</w:t>
      </w:r>
      <w:r w:rsidRPr="00AE5818">
        <w:rPr>
          <w:rFonts w:ascii="Times New Roman" w:eastAsia="宋体" w:hAnsi="Times New Roman" w:cs="Times New Roman"/>
          <w:sz w:val="24"/>
          <w:szCs w:val="24"/>
        </w:rPr>
        <w:t>» (букв. «во рту мёд, в животе меч»). Например: «</w:t>
      </w:r>
      <w:r w:rsidRPr="00AE5818">
        <w:rPr>
          <w:rFonts w:ascii="Times New Roman" w:eastAsia="宋体" w:hAnsi="Times New Roman" w:cs="Times New Roman"/>
          <w:i/>
          <w:iCs/>
          <w:sz w:val="24"/>
          <w:szCs w:val="24"/>
        </w:rPr>
        <w:t>如果长期</w:t>
      </w:r>
      <w:r w:rsidRPr="00AE5818">
        <w:rPr>
          <w:rFonts w:ascii="Times New Roman" w:eastAsia="宋体" w:hAnsi="Times New Roman" w:cs="Times New Roman"/>
          <w:b/>
          <w:bCs/>
          <w:i/>
          <w:iCs/>
          <w:sz w:val="24"/>
          <w:szCs w:val="24"/>
        </w:rPr>
        <w:t>心口不一</w:t>
      </w:r>
      <w:r w:rsidRPr="00AE5818">
        <w:rPr>
          <w:rFonts w:ascii="Times New Roman" w:eastAsia="宋体" w:hAnsi="Times New Roman" w:cs="Times New Roman"/>
          <w:i/>
          <w:iCs/>
          <w:sz w:val="24"/>
          <w:szCs w:val="24"/>
        </w:rPr>
        <w:t>，在其气质上、行为中也会有所异常。不患位之不尊，而患德之不崇</w:t>
      </w:r>
      <w:r w:rsidRPr="00AE5818">
        <w:rPr>
          <w:rFonts w:ascii="Times New Roman" w:eastAsia="宋体" w:hAnsi="Times New Roman" w:cs="Times New Roman"/>
          <w:sz w:val="24"/>
          <w:szCs w:val="24"/>
        </w:rPr>
        <w:t>» («</w:t>
      </w:r>
      <w:r w:rsidRPr="00AE5818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Если длительное время </w:t>
      </w:r>
      <w:r w:rsidRPr="00AE5818">
        <w:rPr>
          <w:rFonts w:ascii="Times New Roman" w:eastAsia="宋体" w:hAnsi="Times New Roman" w:cs="Times New Roman"/>
          <w:b/>
          <w:bCs/>
          <w:i/>
          <w:iCs/>
          <w:sz w:val="24"/>
          <w:szCs w:val="24"/>
        </w:rPr>
        <w:t>сердце и рот не совпадают</w:t>
      </w:r>
      <w:r w:rsidRPr="00AE5818">
        <w:rPr>
          <w:rFonts w:ascii="Times New Roman" w:eastAsia="宋体" w:hAnsi="Times New Roman" w:cs="Times New Roman"/>
          <w:i/>
          <w:iCs/>
          <w:sz w:val="24"/>
          <w:szCs w:val="24"/>
        </w:rPr>
        <w:t>, это отражается на характере и поведении человека; следует опасаться не недостатка почёта, а недостатка нравственности</w:t>
      </w:r>
      <w:r w:rsidRPr="00AE5818">
        <w:rPr>
          <w:rFonts w:ascii="Times New Roman" w:eastAsia="宋体" w:hAnsi="Times New Roman" w:cs="Times New Roman"/>
          <w:sz w:val="24"/>
          <w:szCs w:val="24"/>
        </w:rPr>
        <w:t>») [5]. В данном случае лицемерие осмысливается как нравственно порицаемое несоответствие внутреннего состояния и внешнего речевого поведения. В русском языке сопоставимую структуру имеют пословицы «На языке мёд, а на сердце лёд», «Речи как мёд, а дела как полынь». Во всех случаях лицемерие моделируется как несоответствие внутреннего намерения и внешнего слова.</w:t>
      </w:r>
    </w:p>
    <w:p w14:paraId="00000007" w14:textId="77777777" w:rsidR="00E031CB" w:rsidRPr="00AE5818" w:rsidRDefault="00000000" w:rsidP="00A7385B">
      <w:pPr>
        <w:spacing w:after="0" w:line="240" w:lineRule="auto"/>
        <w:ind w:firstLine="397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AE5818">
        <w:rPr>
          <w:rFonts w:ascii="Times New Roman" w:eastAsia="宋体" w:hAnsi="Times New Roman" w:cs="Times New Roman"/>
          <w:sz w:val="24"/>
          <w:szCs w:val="24"/>
        </w:rPr>
        <w:t>Вместе с тем различается семантическая акцентуация. В китайском языке последовательно подчёркивается искусность речевой маскировки: «</w:t>
      </w:r>
      <w:r w:rsidRPr="00AE5818">
        <w:rPr>
          <w:rFonts w:ascii="Times New Roman" w:eastAsia="宋体" w:hAnsi="Times New Roman" w:cs="Times New Roman"/>
          <w:sz w:val="24"/>
          <w:szCs w:val="24"/>
        </w:rPr>
        <w:t>花言巧语</w:t>
      </w:r>
      <w:r w:rsidRPr="00AE5818">
        <w:rPr>
          <w:rFonts w:ascii="Times New Roman" w:eastAsia="宋体" w:hAnsi="Times New Roman" w:cs="Times New Roman"/>
          <w:sz w:val="24"/>
          <w:szCs w:val="24"/>
        </w:rPr>
        <w:t>» (букв. «цветистые слова и ловкая речь»), «</w:t>
      </w:r>
      <w:r w:rsidRPr="00AE5818">
        <w:rPr>
          <w:rFonts w:ascii="Times New Roman" w:eastAsia="宋体" w:hAnsi="Times New Roman" w:cs="Times New Roman"/>
          <w:sz w:val="24"/>
          <w:szCs w:val="24"/>
        </w:rPr>
        <w:t>巧言令色</w:t>
      </w:r>
      <w:r w:rsidRPr="00AE5818">
        <w:rPr>
          <w:rFonts w:ascii="Times New Roman" w:eastAsia="宋体" w:hAnsi="Times New Roman" w:cs="Times New Roman"/>
          <w:sz w:val="24"/>
          <w:szCs w:val="24"/>
        </w:rPr>
        <w:t xml:space="preserve">» (букв. «ловкие фразы, угодливая мимика»). Лицемерие здесь связано не просто с говорением, а с намеренно украшенной и изощрённой речью как средством сокрытия истинных намерений. </w:t>
      </w:r>
    </w:p>
    <w:p w14:paraId="00000008" w14:textId="77777777" w:rsidR="00E031CB" w:rsidRPr="00AE5818" w:rsidRDefault="00000000" w:rsidP="00A7385B">
      <w:pPr>
        <w:spacing w:after="0" w:line="240" w:lineRule="auto"/>
        <w:ind w:firstLine="397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AE5818">
        <w:rPr>
          <w:rFonts w:ascii="Times New Roman" w:eastAsia="宋体" w:hAnsi="Times New Roman" w:cs="Times New Roman"/>
          <w:sz w:val="24"/>
          <w:szCs w:val="24"/>
        </w:rPr>
        <w:t>В русском языке значимым является компонент «душа»: «кривить душой», «покривить душой». Лицемерие интерпретируется как искажение внутренней духовной целостности. Например: «</w:t>
      </w:r>
      <w:r w:rsidRPr="00AE5818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Не люблю я </w:t>
      </w:r>
      <w:r w:rsidRPr="00AE5818">
        <w:rPr>
          <w:rFonts w:ascii="Times New Roman" w:eastAsia="宋体" w:hAnsi="Times New Roman" w:cs="Times New Roman"/>
          <w:b/>
          <w:bCs/>
          <w:i/>
          <w:iCs/>
          <w:sz w:val="24"/>
          <w:szCs w:val="24"/>
        </w:rPr>
        <w:t>кривить душой</w:t>
      </w:r>
      <w:r w:rsidRPr="00AE5818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 и рублю правду-матку</w:t>
      </w:r>
      <w:r w:rsidRPr="00AE5818">
        <w:rPr>
          <w:rFonts w:ascii="Times New Roman" w:eastAsia="宋体" w:hAnsi="Times New Roman" w:cs="Times New Roman"/>
          <w:sz w:val="24"/>
          <w:szCs w:val="24"/>
        </w:rPr>
        <w:t xml:space="preserve">» (Тамерлан Тадтаев. </w:t>
      </w:r>
      <w:r w:rsidRPr="00AE5818">
        <w:rPr>
          <w:rFonts w:ascii="Times New Roman" w:eastAsia="宋体" w:hAnsi="Times New Roman" w:cs="Times New Roman"/>
          <w:i/>
          <w:iCs/>
          <w:sz w:val="24"/>
          <w:szCs w:val="24"/>
        </w:rPr>
        <w:t>Заложник</w:t>
      </w:r>
      <w:r w:rsidRPr="00AE5818">
        <w:rPr>
          <w:rFonts w:ascii="Times New Roman" w:eastAsia="宋体" w:hAnsi="Times New Roman" w:cs="Times New Roman"/>
          <w:sz w:val="24"/>
          <w:szCs w:val="24"/>
        </w:rPr>
        <w:t xml:space="preserve">, 2012) [6]. Здесь подчёркивается противопоставление искренности и сознательного искажения внутренней позиции. В этом плане интерес представляет и  </w:t>
      </w:r>
      <w:r w:rsidRPr="00AE5818">
        <w:rPr>
          <w:rFonts w:ascii="Times New Roman" w:eastAsia="宋体" w:hAnsi="Times New Roman" w:cs="Times New Roman"/>
          <w:sz w:val="24"/>
          <w:szCs w:val="24"/>
        </w:rPr>
        <w:lastRenderedPageBreak/>
        <w:t>театральная метафора («ломать комедию», «играть комедию», «надевать маску»), которая уподобляет поведение человека сценическому разыгрыванию роли.</w:t>
      </w:r>
    </w:p>
    <w:p w14:paraId="00000009" w14:textId="77777777" w:rsidR="00E031CB" w:rsidRPr="00AE5818" w:rsidRDefault="00000000" w:rsidP="00A7385B">
      <w:pPr>
        <w:spacing w:after="0" w:line="240" w:lineRule="auto"/>
        <w:ind w:firstLine="397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AE5818">
        <w:rPr>
          <w:rFonts w:ascii="Times New Roman" w:eastAsia="宋体" w:hAnsi="Times New Roman" w:cs="Times New Roman"/>
          <w:sz w:val="24"/>
          <w:szCs w:val="24"/>
        </w:rPr>
        <w:t>Вторая группа отражает представление «лицемерия» как двуличия, проявляющегося в изменении позиции в зависимости от ситуации и адресата общения. В китайском языке данное значение выражается фразеологизмами «</w:t>
      </w:r>
      <w:r w:rsidRPr="00AE5818">
        <w:rPr>
          <w:rFonts w:ascii="Times New Roman" w:eastAsia="宋体" w:hAnsi="Times New Roman" w:cs="Times New Roman"/>
          <w:sz w:val="24"/>
          <w:szCs w:val="24"/>
        </w:rPr>
        <w:t>两面三刀</w:t>
      </w:r>
      <w:r w:rsidRPr="00AE5818">
        <w:rPr>
          <w:rFonts w:ascii="Times New Roman" w:eastAsia="宋体" w:hAnsi="Times New Roman" w:cs="Times New Roman"/>
          <w:sz w:val="24"/>
          <w:szCs w:val="24"/>
        </w:rPr>
        <w:t>» (букв. «два лица — три ножа»), «</w:t>
      </w:r>
      <w:r w:rsidRPr="00AE5818">
        <w:rPr>
          <w:rFonts w:ascii="Times New Roman" w:eastAsia="宋体" w:hAnsi="Times New Roman" w:cs="Times New Roman"/>
          <w:sz w:val="24"/>
          <w:szCs w:val="24"/>
        </w:rPr>
        <w:t>三头两面</w:t>
      </w:r>
      <w:r w:rsidRPr="00AE5818">
        <w:rPr>
          <w:rFonts w:ascii="Times New Roman" w:eastAsia="宋体" w:hAnsi="Times New Roman" w:cs="Times New Roman"/>
          <w:sz w:val="24"/>
          <w:szCs w:val="24"/>
        </w:rPr>
        <w:t>» (букв. «три головы — два лица»), «</w:t>
      </w:r>
      <w:r w:rsidRPr="00AE5818">
        <w:rPr>
          <w:rFonts w:ascii="Times New Roman" w:eastAsia="宋体" w:hAnsi="Times New Roman" w:cs="Times New Roman"/>
          <w:sz w:val="24"/>
          <w:szCs w:val="24"/>
        </w:rPr>
        <w:t>耍两面派</w:t>
      </w:r>
      <w:r w:rsidRPr="00AE5818">
        <w:rPr>
          <w:rFonts w:ascii="Times New Roman" w:eastAsia="宋体" w:hAnsi="Times New Roman" w:cs="Times New Roman"/>
          <w:sz w:val="24"/>
          <w:szCs w:val="24"/>
        </w:rPr>
        <w:t>» (букв. «играть роль человека с двумя сторонами»). Например: «</w:t>
      </w:r>
      <w:r w:rsidRPr="00AE5818">
        <w:rPr>
          <w:rFonts w:ascii="Times New Roman" w:eastAsia="宋体" w:hAnsi="Times New Roman" w:cs="Times New Roman"/>
          <w:i/>
          <w:iCs/>
          <w:sz w:val="24"/>
          <w:szCs w:val="24"/>
        </w:rPr>
        <w:t>我恨那些</w:t>
      </w:r>
      <w:r w:rsidRPr="00AE5818">
        <w:rPr>
          <w:rFonts w:ascii="Times New Roman" w:eastAsia="宋体" w:hAnsi="Times New Roman" w:cs="Times New Roman"/>
          <w:b/>
          <w:bCs/>
          <w:i/>
          <w:iCs/>
          <w:sz w:val="24"/>
          <w:szCs w:val="24"/>
        </w:rPr>
        <w:t>两面三刀</w:t>
      </w:r>
      <w:r w:rsidRPr="00AE5818">
        <w:rPr>
          <w:rFonts w:ascii="Times New Roman" w:eastAsia="宋体" w:hAnsi="Times New Roman" w:cs="Times New Roman"/>
          <w:i/>
          <w:iCs/>
          <w:sz w:val="24"/>
          <w:szCs w:val="24"/>
        </w:rPr>
        <w:t>的混蛋！他们脸上堆笑，脚下使绊</w:t>
      </w:r>
      <w:r w:rsidRPr="00AE5818">
        <w:rPr>
          <w:rFonts w:ascii="Times New Roman" w:eastAsia="宋体" w:hAnsi="Times New Roman" w:cs="Times New Roman"/>
          <w:sz w:val="24"/>
          <w:szCs w:val="24"/>
        </w:rPr>
        <w:t>» («</w:t>
      </w:r>
      <w:r w:rsidRPr="00AE5818">
        <w:rPr>
          <w:rFonts w:ascii="Times New Roman" w:eastAsia="宋体" w:hAnsi="Times New Roman" w:cs="Times New Roman"/>
          <w:i/>
          <w:iCs/>
          <w:sz w:val="24"/>
          <w:szCs w:val="24"/>
        </w:rPr>
        <w:t>Я ненавижу этих людей, действующих “</w:t>
      </w:r>
      <w:r w:rsidRPr="00AE5818">
        <w:rPr>
          <w:rFonts w:ascii="Times New Roman" w:eastAsia="宋体" w:hAnsi="Times New Roman" w:cs="Times New Roman"/>
          <w:b/>
          <w:bCs/>
          <w:i/>
          <w:iCs/>
          <w:sz w:val="24"/>
          <w:szCs w:val="24"/>
        </w:rPr>
        <w:t>с двумя лицами и тремя ножами</w:t>
      </w:r>
      <w:r w:rsidRPr="00AE5818">
        <w:rPr>
          <w:rFonts w:ascii="Times New Roman" w:eastAsia="宋体" w:hAnsi="Times New Roman" w:cs="Times New Roman"/>
          <w:i/>
          <w:iCs/>
          <w:sz w:val="24"/>
          <w:szCs w:val="24"/>
        </w:rPr>
        <w:t>”: в лицо они улыбаются, а за спиной чинят препятствия</w:t>
      </w:r>
      <w:r w:rsidRPr="00AE5818">
        <w:rPr>
          <w:rFonts w:ascii="Times New Roman" w:eastAsia="宋体" w:hAnsi="Times New Roman" w:cs="Times New Roman"/>
          <w:sz w:val="24"/>
          <w:szCs w:val="24"/>
        </w:rPr>
        <w:t>») [5]. Здесь лицемерие интерпретируется как демонстрация внешней доброжелательности при одновременном скрытом вреде.</w:t>
      </w:r>
    </w:p>
    <w:p w14:paraId="0000000A" w14:textId="77777777" w:rsidR="00E031CB" w:rsidRPr="00AE5818" w:rsidRDefault="00000000" w:rsidP="00A7385B">
      <w:pPr>
        <w:spacing w:after="0" w:line="240" w:lineRule="auto"/>
        <w:ind w:firstLine="397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AE5818">
        <w:rPr>
          <w:rFonts w:ascii="Times New Roman" w:eastAsia="宋体" w:hAnsi="Times New Roman" w:cs="Times New Roman"/>
          <w:sz w:val="24"/>
          <w:szCs w:val="24"/>
        </w:rPr>
        <w:t>В русском языке данная семантика закреплена как на уровне лексики «двуличный», «двурушник», так и во фразеологии: «вести двойную игру», «действовать на два лагеря», «и нашим и вашим». Например: «</w:t>
      </w:r>
      <w:r w:rsidRPr="00AE5818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Появись предлог насторожиться… Японцу, и он сразу вычислит, что прокурор… </w:t>
      </w:r>
      <w:r w:rsidRPr="00AE5818">
        <w:rPr>
          <w:rFonts w:ascii="Times New Roman" w:eastAsia="宋体" w:hAnsi="Times New Roman" w:cs="Times New Roman"/>
          <w:b/>
          <w:bCs/>
          <w:i/>
          <w:iCs/>
          <w:sz w:val="24"/>
          <w:szCs w:val="24"/>
        </w:rPr>
        <w:t>ведет двойную игру</w:t>
      </w:r>
      <w:r w:rsidRPr="00AE5818">
        <w:rPr>
          <w:rFonts w:ascii="Times New Roman" w:eastAsia="宋体" w:hAnsi="Times New Roman" w:cs="Times New Roman"/>
          <w:i/>
          <w:iCs/>
          <w:sz w:val="24"/>
          <w:szCs w:val="24"/>
        </w:rPr>
        <w:t>… Играть с огнем не следовало.</w:t>
      </w:r>
      <w:r w:rsidRPr="00AE5818">
        <w:rPr>
          <w:rFonts w:ascii="Times New Roman" w:eastAsia="宋体" w:hAnsi="Times New Roman" w:cs="Times New Roman"/>
          <w:sz w:val="24"/>
          <w:szCs w:val="24"/>
        </w:rPr>
        <w:t xml:space="preserve">» (Мир-Хайдаров Р. </w:t>
      </w:r>
      <w:r w:rsidRPr="00AE5818">
        <w:rPr>
          <w:rFonts w:ascii="Times New Roman" w:eastAsia="宋体" w:hAnsi="Times New Roman" w:cs="Times New Roman"/>
          <w:i/>
          <w:iCs/>
          <w:sz w:val="24"/>
          <w:szCs w:val="24"/>
        </w:rPr>
        <w:t>Масть пиковая</w:t>
      </w:r>
      <w:r w:rsidRPr="00AE5818">
        <w:rPr>
          <w:rFonts w:ascii="Times New Roman" w:eastAsia="宋体" w:hAnsi="Times New Roman" w:cs="Times New Roman"/>
          <w:sz w:val="24"/>
          <w:szCs w:val="24"/>
        </w:rPr>
        <w:t>, 1992) [6]. В данном контексте лицемерие понимается как намеренное сокрытие истинной позиции при внешнем следовании иной линии поведения.</w:t>
      </w:r>
    </w:p>
    <w:p w14:paraId="0000000B" w14:textId="77777777" w:rsidR="00E031CB" w:rsidRPr="00AE5818" w:rsidRDefault="00000000" w:rsidP="00A7385B">
      <w:pPr>
        <w:spacing w:after="0" w:line="240" w:lineRule="auto"/>
        <w:ind w:firstLine="397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AE5818">
        <w:rPr>
          <w:rFonts w:ascii="Times New Roman" w:eastAsia="宋体" w:hAnsi="Times New Roman" w:cs="Times New Roman"/>
          <w:sz w:val="24"/>
          <w:szCs w:val="24"/>
        </w:rPr>
        <w:t>В результате сопоставительного анализа установлено, что в русском и китайском языках лицемерие интерпретируется как негативная моральная характеристика, основанная на расхождении внутреннего и внешнего и демонстрации изменчивой позиции субъекта. Общей является модель сокрытия подлинных намерений через противопоставление внутренней сферы и внешнего поведения. Различие проявляется в семантической акцентуации: в китайском языке более последовательно актуализируется аспект речевой маскировки, тогда как в русском языке усиливается духовно-нравственное измерение внутренней целостности и функционирует театральная модель разыгрывания социальной роли.</w:t>
      </w:r>
    </w:p>
    <w:p w14:paraId="0000000C" w14:textId="77777777" w:rsidR="00E031CB" w:rsidRPr="00AE5818" w:rsidRDefault="00000000" w:rsidP="00A7385B">
      <w:pPr>
        <w:spacing w:after="0" w:line="240" w:lineRule="auto"/>
        <w:ind w:firstLine="397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AE5818">
        <w:rPr>
          <w:rFonts w:ascii="Times New Roman" w:eastAsia="宋体" w:hAnsi="Times New Roman" w:cs="Times New Roman"/>
          <w:sz w:val="24"/>
          <w:szCs w:val="24"/>
        </w:rPr>
        <w:t>Таким образом, при общей аксиологической оценке явления способы его языковой репрезентации отражают культурно обусловленные особенности интерпретации морального поведения.</w:t>
      </w:r>
    </w:p>
    <w:p w14:paraId="0000000D" w14:textId="4EDA9184" w:rsidR="00E031CB" w:rsidRPr="00C17A17" w:rsidRDefault="00C17A17" w:rsidP="00A7385B">
      <w:pPr>
        <w:spacing w:after="0" w:line="240" w:lineRule="auto"/>
        <w:ind w:firstLine="397"/>
        <w:jc w:val="both"/>
        <w:rPr>
          <w:rFonts w:ascii="Times New Roman" w:eastAsia="宋体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:lang w:val="ru-RU"/>
        </w:rPr>
        <w:t>Л</w:t>
      </w:r>
      <w:proofErr w:type="spellStart"/>
      <w:r w:rsidRPr="00AE5818">
        <w:rPr>
          <w:rFonts w:ascii="Times New Roman" w:eastAsia="宋体" w:hAnsi="Times New Roman" w:cs="Times New Roman"/>
          <w:b/>
          <w:bCs/>
          <w:sz w:val="24"/>
          <w:szCs w:val="24"/>
        </w:rPr>
        <w:t>итератур</w:t>
      </w:r>
      <w:proofErr w:type="spellEnd"/>
      <w:r>
        <w:rPr>
          <w:rFonts w:ascii="Times New Roman" w:eastAsia="宋体" w:hAnsi="Times New Roman" w:cs="Times New Roman"/>
          <w:b/>
          <w:bCs/>
          <w:sz w:val="24"/>
          <w:szCs w:val="24"/>
          <w:lang w:val="ru-RU"/>
        </w:rPr>
        <w:t>а</w:t>
      </w:r>
    </w:p>
    <w:p w14:paraId="0000000E" w14:textId="77777777" w:rsidR="00E031CB" w:rsidRPr="00AE5818" w:rsidRDefault="00000000" w:rsidP="00A7385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397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AE5818">
        <w:rPr>
          <w:rFonts w:ascii="Times New Roman" w:eastAsia="宋体" w:hAnsi="Times New Roman" w:cs="Times New Roman"/>
          <w:sz w:val="24"/>
          <w:szCs w:val="24"/>
        </w:rPr>
        <w:t>Арутюнова Н.Д. Типы языковых значений: Оценка. Событие. Факт. М., 1988.</w:t>
      </w:r>
    </w:p>
    <w:p w14:paraId="0000000F" w14:textId="77777777" w:rsidR="00E031CB" w:rsidRPr="00AE5818" w:rsidRDefault="00000000" w:rsidP="00A7385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397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AE5818">
        <w:rPr>
          <w:rFonts w:ascii="Times New Roman" w:eastAsia="宋体" w:hAnsi="Times New Roman" w:cs="Times New Roman"/>
          <w:sz w:val="24"/>
          <w:szCs w:val="24"/>
        </w:rPr>
        <w:t>Кузнецов С.А. Большой толковый словарь русского языка. СПб., 2000.</w:t>
      </w:r>
    </w:p>
    <w:p w14:paraId="00000010" w14:textId="77777777" w:rsidR="00E031CB" w:rsidRPr="00AE5818" w:rsidRDefault="00000000" w:rsidP="00A7385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397"/>
        <w:jc w:val="both"/>
        <w:rPr>
          <w:rFonts w:ascii="Times New Roman" w:eastAsia="宋体" w:hAnsi="Times New Roman" w:cs="Times New Roman"/>
          <w:sz w:val="24"/>
          <w:szCs w:val="24"/>
        </w:rPr>
      </w:pPr>
      <w:proofErr w:type="spellStart"/>
      <w:r w:rsidRPr="00AE5818">
        <w:rPr>
          <w:rFonts w:ascii="Times New Roman" w:eastAsia="宋体" w:hAnsi="Times New Roman" w:cs="Times New Roman"/>
          <w:sz w:val="24"/>
          <w:szCs w:val="24"/>
        </w:rPr>
        <w:t>Слышкин</w:t>
      </w:r>
      <w:proofErr w:type="spellEnd"/>
      <w:r w:rsidRPr="00AE5818">
        <w:rPr>
          <w:rFonts w:ascii="Times New Roman" w:eastAsia="宋体" w:hAnsi="Times New Roman" w:cs="Times New Roman"/>
          <w:sz w:val="24"/>
          <w:szCs w:val="24"/>
        </w:rPr>
        <w:t xml:space="preserve"> Г.Г. От текста к символу. </w:t>
      </w:r>
      <w:proofErr w:type="spellStart"/>
      <w:r w:rsidRPr="00AE5818">
        <w:rPr>
          <w:rFonts w:ascii="Times New Roman" w:eastAsia="宋体" w:hAnsi="Times New Roman" w:cs="Times New Roman"/>
          <w:sz w:val="24"/>
          <w:szCs w:val="24"/>
        </w:rPr>
        <w:t>Лингвокультурные</w:t>
      </w:r>
      <w:proofErr w:type="spellEnd"/>
      <w:r w:rsidRPr="00AE5818">
        <w:rPr>
          <w:rFonts w:ascii="Times New Roman" w:eastAsia="宋体" w:hAnsi="Times New Roman" w:cs="Times New Roman"/>
          <w:sz w:val="24"/>
          <w:szCs w:val="24"/>
        </w:rPr>
        <w:t xml:space="preserve"> концепты прецедентных текстов в сознании и дискурсе. М., 2000.</w:t>
      </w:r>
    </w:p>
    <w:p w14:paraId="00000011" w14:textId="77777777" w:rsidR="00E031CB" w:rsidRPr="00AE5818" w:rsidRDefault="00000000" w:rsidP="00A7385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397"/>
        <w:jc w:val="both"/>
        <w:rPr>
          <w:rFonts w:ascii="Times New Roman" w:eastAsia="宋体" w:hAnsi="Times New Roman" w:cs="Times New Roman"/>
          <w:sz w:val="24"/>
          <w:szCs w:val="24"/>
        </w:rPr>
      </w:pPr>
      <w:proofErr w:type="spellStart"/>
      <w:r w:rsidRPr="00AE5818">
        <w:rPr>
          <w:rFonts w:ascii="Times New Roman" w:eastAsia="宋体" w:hAnsi="Times New Roman" w:cs="Times New Roman"/>
          <w:sz w:val="24"/>
          <w:szCs w:val="24"/>
        </w:rPr>
        <w:t>Жуань</w:t>
      </w:r>
      <w:proofErr w:type="spellEnd"/>
      <w:r w:rsidRPr="00AE5818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AE5818">
        <w:rPr>
          <w:rFonts w:ascii="Times New Roman" w:eastAsia="宋体" w:hAnsi="Times New Roman" w:cs="Times New Roman"/>
          <w:sz w:val="24"/>
          <w:szCs w:val="24"/>
        </w:rPr>
        <w:t>Чжифу</w:t>
      </w:r>
      <w:proofErr w:type="spellEnd"/>
      <w:r w:rsidRPr="00AE5818">
        <w:rPr>
          <w:rFonts w:ascii="Times New Roman" w:eastAsia="宋体" w:hAnsi="Times New Roman" w:cs="Times New Roman"/>
          <w:sz w:val="24"/>
          <w:szCs w:val="24"/>
        </w:rPr>
        <w:t xml:space="preserve">, Го </w:t>
      </w:r>
      <w:proofErr w:type="spellStart"/>
      <w:r w:rsidRPr="00AE5818">
        <w:rPr>
          <w:rFonts w:ascii="Times New Roman" w:eastAsia="宋体" w:hAnsi="Times New Roman" w:cs="Times New Roman"/>
          <w:sz w:val="24"/>
          <w:szCs w:val="24"/>
        </w:rPr>
        <w:t>Чжуньсинь</w:t>
      </w:r>
      <w:proofErr w:type="spellEnd"/>
      <w:r w:rsidRPr="00AE5818">
        <w:rPr>
          <w:rFonts w:ascii="Times New Roman" w:eastAsia="宋体" w:hAnsi="Times New Roman" w:cs="Times New Roman"/>
          <w:sz w:val="24"/>
          <w:szCs w:val="24"/>
        </w:rPr>
        <w:t xml:space="preserve"> (ред.). Большой толковый словарь современного китайского языка. Шанхай, 2010.</w:t>
      </w:r>
    </w:p>
    <w:p w14:paraId="00000012" w14:textId="77777777" w:rsidR="00E031CB" w:rsidRPr="00AE5818" w:rsidRDefault="00000000" w:rsidP="00A7385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397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AE5818">
        <w:rPr>
          <w:rFonts w:ascii="Times New Roman" w:eastAsia="宋体" w:hAnsi="Times New Roman" w:cs="Times New Roman"/>
          <w:sz w:val="24"/>
          <w:szCs w:val="24"/>
        </w:rPr>
        <w:t xml:space="preserve">Корпус BCC Пекинского университета языка и культуры: </w:t>
      </w:r>
      <w:hyperlink r:id="rId5">
        <w:r w:rsidR="00E031CB" w:rsidRPr="00AE5818">
          <w:rPr>
            <w:rFonts w:ascii="Times New Roman" w:eastAsia="宋体" w:hAnsi="Times New Roman" w:cs="Times New Roman"/>
            <w:sz w:val="24"/>
            <w:szCs w:val="24"/>
            <w:u w:val="single"/>
          </w:rPr>
          <w:t>http://bcc.blcu.edu.cn/</w:t>
        </w:r>
      </w:hyperlink>
    </w:p>
    <w:p w14:paraId="00000013" w14:textId="77777777" w:rsidR="00E031CB" w:rsidRPr="00AE5818" w:rsidRDefault="00000000" w:rsidP="00A7385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397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AE5818">
        <w:rPr>
          <w:rFonts w:ascii="Times New Roman" w:eastAsia="宋体" w:hAnsi="Times New Roman" w:cs="Times New Roman"/>
          <w:sz w:val="24"/>
          <w:szCs w:val="24"/>
        </w:rPr>
        <w:t xml:space="preserve">Национальный корпус русского языка: </w:t>
      </w:r>
      <w:hyperlink r:id="rId6">
        <w:r w:rsidR="00E031CB" w:rsidRPr="00AE5818">
          <w:rPr>
            <w:rFonts w:ascii="Times New Roman" w:eastAsia="宋体" w:hAnsi="Times New Roman" w:cs="Times New Roman"/>
            <w:sz w:val="24"/>
            <w:szCs w:val="24"/>
            <w:u w:val="single"/>
          </w:rPr>
          <w:t>https://ruscorpora.ru/</w:t>
        </w:r>
      </w:hyperlink>
    </w:p>
    <w:p w14:paraId="00000014" w14:textId="77777777" w:rsidR="00E031CB" w:rsidRPr="00AE5818" w:rsidRDefault="00000000" w:rsidP="00A7385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397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AE5818">
        <w:rPr>
          <w:rFonts w:ascii="Times New Roman" w:eastAsia="宋体" w:hAnsi="Times New Roman" w:cs="Times New Roman"/>
          <w:sz w:val="24"/>
          <w:szCs w:val="24"/>
        </w:rPr>
        <w:t xml:space="preserve">Иоанн Лествичник. Лествица, или Скрижали духовные: </w:t>
      </w:r>
      <w:hyperlink r:id="rId7">
        <w:r w:rsidR="00E031CB" w:rsidRPr="00AE5818">
          <w:rPr>
            <w:rFonts w:ascii="Times New Roman" w:eastAsia="宋体" w:hAnsi="Times New Roman" w:cs="Times New Roman"/>
            <w:sz w:val="24"/>
            <w:szCs w:val="24"/>
            <w:u w:val="single"/>
          </w:rPr>
          <w:t>https://azbyka.ru/otechnik/Ioann_Lestvichnik/lestvitsa-ili-skrizhali-dukhovnye/</w:t>
        </w:r>
      </w:hyperlink>
    </w:p>
    <w:sectPr w:rsidR="00E031CB" w:rsidRPr="00AE5818" w:rsidSect="00436253">
      <w:pgSz w:w="11906" w:h="16838"/>
      <w:pgMar w:top="1134" w:right="1361" w:bottom="1134" w:left="136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B1BF515-C839-4476-A70A-F44E30E0C2EC}"/>
  </w:font>
  <w:font w:name="-webkit-standard">
    <w:altName w:val="Calibri"/>
    <w:charset w:val="00"/>
    <w:family w:val="auto"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85D6792-A10A-460E-A533-897F4A257BA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3D7C67"/>
    <w:multiLevelType w:val="multilevel"/>
    <w:tmpl w:val="EEA61560"/>
    <w:lvl w:ilvl="0">
      <w:start w:val="1"/>
      <w:numFmt w:val="decimal"/>
      <w:lvlText w:val="%1."/>
      <w:lvlJc w:val="left"/>
      <w:pPr>
        <w:ind w:left="440" w:hanging="440"/>
      </w:pPr>
      <w:rPr>
        <w:b w:val="0"/>
        <w:bCs w:val="0"/>
        <w:i w:val="0"/>
        <w:iCs w:val="0"/>
        <w:color w:val="000000"/>
        <w:sz w:val="24"/>
        <w:szCs w:val="24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773553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1CB"/>
    <w:rsid w:val="00137AC9"/>
    <w:rsid w:val="00145C79"/>
    <w:rsid w:val="00395A33"/>
    <w:rsid w:val="003E0670"/>
    <w:rsid w:val="00436253"/>
    <w:rsid w:val="00525DDC"/>
    <w:rsid w:val="005A53CD"/>
    <w:rsid w:val="00824FE7"/>
    <w:rsid w:val="009D4EA4"/>
    <w:rsid w:val="00A021CC"/>
    <w:rsid w:val="00A63A7F"/>
    <w:rsid w:val="00A7385B"/>
    <w:rsid w:val="00A807A1"/>
    <w:rsid w:val="00AE5818"/>
    <w:rsid w:val="00B844EB"/>
    <w:rsid w:val="00C17A17"/>
    <w:rsid w:val="00DF66CF"/>
    <w:rsid w:val="00E031CB"/>
    <w:rsid w:val="00E62E0F"/>
    <w:rsid w:val="00E64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98BB33"/>
  <w15:docId w15:val="{45E3B215-40E1-49D9-9225-5BDAE8DEB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等线" w:eastAsia="等线" w:hAnsi="等线" w:cs="等线"/>
        <w:sz w:val="22"/>
        <w:szCs w:val="22"/>
        <w:lang w:val="ru" w:eastAsia="zh-CN" w:bidi="ar-SA"/>
      </w:rPr>
    </w:rPrDefault>
    <w:pPrDefault>
      <w:pPr>
        <w:widowControl w:val="0"/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80"/>
      <w:outlineLvl w:val="0"/>
    </w:pPr>
    <w:rPr>
      <w:rFonts w:ascii="等线 Light" w:eastAsia="等线 Light" w:hAnsi="等线 Light" w:cs="等线 Light"/>
      <w:color w:val="2F5496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等线 Light" w:eastAsia="等线 Light" w:hAnsi="等线 Light" w:cs="等线 Light"/>
      <w:color w:val="2F5496"/>
      <w:sz w:val="40"/>
      <w:szCs w:val="40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rFonts w:ascii="等线 Light" w:eastAsia="等线 Light" w:hAnsi="等线 Light" w:cs="等线 Light"/>
      <w:color w:val="2F5496"/>
      <w:sz w:val="32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color w:val="2F5496"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  <w:sz w:val="24"/>
      <w:szCs w:val="24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b/>
      <w:bCs/>
      <w:color w:val="2F54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  <w:jc w:val="center"/>
    </w:pPr>
    <w:rPr>
      <w:rFonts w:ascii="等线 Light" w:eastAsia="等线 Light" w:hAnsi="等线 Light" w:cs="等线 Light"/>
      <w:sz w:val="56"/>
      <w:szCs w:val="56"/>
    </w:rPr>
  </w:style>
  <w:style w:type="paragraph" w:styleId="a4">
    <w:name w:val="Subtitle"/>
    <w:basedOn w:val="a"/>
    <w:next w:val="a"/>
    <w:uiPriority w:val="11"/>
    <w:qFormat/>
    <w:pPr>
      <w:jc w:val="center"/>
    </w:pPr>
    <w:rPr>
      <w:rFonts w:ascii="等线 Light" w:eastAsia="等线 Light" w:hAnsi="等线 Light" w:cs="等线 Light"/>
      <w:color w:val="595959"/>
      <w:sz w:val="28"/>
      <w:szCs w:val="28"/>
    </w:rPr>
  </w:style>
  <w:style w:type="paragraph" w:styleId="a5">
    <w:name w:val="Normal (Web)"/>
    <w:basedOn w:val="a"/>
    <w:uiPriority w:val="99"/>
    <w:unhideWhenUsed/>
    <w:qFormat/>
    <w:rsid w:val="00A63A7F"/>
    <w:pPr>
      <w:widowControl/>
      <w:spacing w:line="259" w:lineRule="auto"/>
    </w:pPr>
    <w:rPr>
      <w:rFonts w:asciiTheme="minorHAnsi" w:eastAsiaTheme="minorHAnsi" w:hAnsiTheme="minorHAnsi" w:cstheme="minorBidi"/>
      <w:sz w:val="24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zbyka.ru/otechnik/Ioann_Lestvichnik/lestvitsa-ili-skrizhali-dukhovny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scorpora.ru/" TargetMode="External"/><Relationship Id="rId5" Type="http://schemas.openxmlformats.org/officeDocument/2006/relationships/hyperlink" Target="http://bcc.blcu.edu.cn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877</Words>
  <Characters>5453</Characters>
  <Application>Microsoft Office Word</Application>
  <DocSecurity>0</DocSecurity>
  <Lines>90</Lines>
  <Paragraphs>29</Paragraphs>
  <ScaleCrop>false</ScaleCrop>
  <Company/>
  <LinksUpToDate>false</LinksUpToDate>
  <CharactersWithSpaces>6301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马然</dc:creator>
  <cp:lastModifiedBy>然 马</cp:lastModifiedBy>
  <cp:revision>20</cp:revision>
  <dcterms:created xsi:type="dcterms:W3CDTF">2026-02-28T11:38:00Z</dcterms:created>
  <dcterms:modified xsi:type="dcterms:W3CDTF">2026-03-03T20:50:00Z</dcterms:modified>
</cp:coreProperties>
</file>