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ackground w:color="ffffff">
    <v:background id="_x0000_s1025" filled="t"/>
  </w:background>
  <w:body>
    <w:p>
      <w:pPr>
        <w:pStyle w:val="Heading1"/>
        <w:keepNext w:val="0"/>
        <w:keepLines w:val="0"/>
        <w:spacing w:before="240" w:after="0"/>
        <w:jc w:val="center"/>
        <w:rPr>
          <w:rFonts w:ascii="Times New Roman" w:eastAsia="Times New Roman" w:hAnsi="Times New Roman" w:cs="Times New Roman" w:hint="default"/>
          <w:b/>
          <w:bCs/>
          <w:sz w:val="24"/>
          <w:szCs w:val="24"/>
        </w:rPr>
      </w:pPr>
      <w:bookmarkStart w:id="0" w:name="_GoBack"/>
      <w:bookmarkStart w:id="1" w:name="_xrry4sxm4szw" w:colFirst="0" w:colLast="0"/>
      <w:bookmarkEnd w:id="1"/>
      <w:r>
        <w:rPr>
          <w:rFonts w:ascii="Times New Roman" w:eastAsia="Times New Roman" w:hAnsi="Times New Roman" w:cs="Times New Roman" w:hint="default"/>
          <w:b/>
          <w:bCs/>
          <w:i/>
          <w:iCs/>
          <w:sz w:val="24"/>
          <w:szCs w:val="24"/>
          <w:rtl w:val="0"/>
        </w:rPr>
        <w:t>Использование приемов речевого воздействия в ИИ на примере взаимодействия с ChatGPT на русском и китайском языках</w:t>
      </w:r>
    </w:p>
    <w:p>
      <w:pPr>
        <w:jc w:val="center"/>
        <w:rPr>
          <w:rFonts w:ascii="Times New Roman" w:eastAsia="Times New Roman" w:hAnsi="Times New Roman" w:cs="Times New Roman" w:hint="default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 w:hint="default"/>
          <w:i/>
          <w:iCs/>
          <w:sz w:val="24"/>
          <w:szCs w:val="24"/>
          <w:rtl w:val="0"/>
        </w:rPr>
        <w:t>Научный руководитель – Грецкая Софья Сергеевна</w:t>
      </w:r>
    </w:p>
    <w:p>
      <w:pPr>
        <w:jc w:val="center"/>
        <w:rPr>
          <w:rFonts w:ascii="Times New Roman" w:eastAsia="Times New Roman" w:hAnsi="Times New Roman" w:cs="Times New Roman" w:hint="default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 w:hint="default"/>
          <w:b/>
          <w:bCs/>
          <w:i/>
          <w:iCs/>
          <w:sz w:val="24"/>
          <w:szCs w:val="24"/>
          <w:rtl w:val="0"/>
        </w:rPr>
        <w:t>Джиоев Батраз Александрович</w:t>
      </w:r>
    </w:p>
    <w:p>
      <w:pPr>
        <w:shd w:val="clear" w:color="auto" w:fill="FFFFFF"/>
        <w:jc w:val="center"/>
        <w:rPr>
          <w:rFonts w:ascii="Times New Roman" w:eastAsia="Times New Roman" w:hAnsi="Times New Roman" w:cs="Times New Roman" w:hint="default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 w:hint="default"/>
          <w:i/>
          <w:iCs/>
          <w:sz w:val="24"/>
          <w:szCs w:val="24"/>
          <w:rtl w:val="0"/>
        </w:rPr>
        <w:t>Московский государственный университет имени М.В. Ломоносова,</w:t>
      </w:r>
    </w:p>
    <w:p>
      <w:pPr>
        <w:shd w:val="clear" w:color="auto" w:fill="FFFFFF"/>
        <w:jc w:val="center"/>
        <w:rPr>
          <w:rFonts w:ascii="Times New Roman" w:eastAsia="Times New Roman" w:hAnsi="Times New Roman" w:cs="Times New Roman" w:hint="default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 w:hint="default"/>
          <w:i/>
          <w:iCs/>
          <w:sz w:val="24"/>
          <w:szCs w:val="24"/>
          <w:rtl w:val="0"/>
        </w:rPr>
        <w:t>факультет иностранных языков и регионоведения, Москва, Россия</w:t>
      </w:r>
    </w:p>
    <w:p>
      <w:pPr>
        <w:jc w:val="center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Times New Roman" w:hAnsi="Times New Roman" w:cs="Times New Roman" w:hint="default"/>
          <w:i/>
          <w:iCs/>
          <w:sz w:val="24"/>
          <w:szCs w:val="24"/>
          <w:rtl w:val="0"/>
        </w:rPr>
        <w:t>E-mail: dzhioevbatraz@mail.ru</w:t>
      </w:r>
    </w:p>
    <w:p>
      <w:pPr>
        <w:spacing w:before="240" w:after="240"/>
        <w:ind w:firstLine="708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 xml:space="preserve">Интеграция генеративных языковых моделей в публично-массовую коммуникацию (включая экспертные и медийные форматы) делает практически значимым вопрос: </w:t>
      </w:r>
      <w:r>
        <w:rPr>
          <w:rFonts w:ascii="Times New Roman" w:eastAsia="Times New Roman" w:hAnsi="Times New Roman" w:cs="Times New Roman" w:hint="default"/>
          <w:b w:val="0"/>
          <w:bCs w:val="0"/>
          <w:sz w:val="24"/>
          <w:szCs w:val="24"/>
          <w:rtl w:val="0"/>
        </w:rPr>
        <w:t>способны ли модели воспроизводить и усиливать стратегии речевого воздействия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, уже присутствующие в текстах-источниках, и насколько это зависит от языковой и культурной рамки [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  <w:lang w:val="en-US"/>
        </w:rPr>
        <w:t>1, 3, 4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].</w:t>
      </w:r>
    </w:p>
    <w:p>
      <w:pPr>
        <w:spacing w:before="240" w:after="240"/>
        <w:ind w:firstLine="708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Цель настоящего исследования — выявить, каким образом приемы речевого воздействия, зафиксированные в англо- и китайскоязычном политическом дискурсе по теме «Тайвань и региональная безопасность», могут быть воспроизведены в ответах языковой модели ChatGPT.</w:t>
      </w:r>
    </w:p>
    <w:p>
      <w:pPr>
        <w:spacing w:before="240" w:after="240"/>
        <w:ind w:firstLine="708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>Материал составили два специализированных корпуса (по 4 экспертных текста каждый): англоязычный корпус (средний объем текста ≈ 3,5 тыс. слов) и  китайскоязычный корпус (средний объём ≈ 2,3 тыс. словоупотреблений после сегментации). Отбор выполнен по тематическому, жанровому и функциональному критериям (тематика Тайваня, аналитический стиль, высокая наблюдаемость воздействия: оценочность, модальность долженствования, консенсус‑маркеры, сценаризация риска). [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  <w:lang w:val="en-US"/>
        </w:rPr>
        <w:t>5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>].</w:t>
      </w:r>
    </w:p>
    <w:p>
      <w:pPr>
        <w:spacing w:before="240" w:after="240"/>
        <w:ind w:firstLine="708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>Исследование включало три этапа. Первый этап — обзор теории: речевое воздействие трактуется как совокупность языковых, прагматических и дискурсивных механизмов, включая имплицитные средства (пресуппозиции, оценочное именование, нормирующие формулы) [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  <w:lang w:val="en-US"/>
        </w:rPr>
        <w:t>1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>]; в качестве рабочей типологии использованы убеждение, внушение и побуждение и их маркеры (аргументативность, суггестивность, директивность) [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  <w:lang w:val="en-US"/>
        </w:rPr>
        <w:t>4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 xml:space="preserve">]; реализация воздействия 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  <w:lang w:val="ru-RU"/>
        </w:rPr>
        <w:t>оценивалась с учётом используемых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 xml:space="preserve"> стратеги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  <w:lang w:val="ru-RU"/>
        </w:rPr>
        <w:t>й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 xml:space="preserve"> и тактик (апелляции к норме/авторитету/эмоциям, «иллюзия консенсуса», скрытое навязывание интерпретации) [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  <w:lang w:val="en-US"/>
        </w:rPr>
        <w:t>2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 xml:space="preserve">]. Второй этап — сбор корпусов и разработка опросника: на основе частотных тем обоих корпусов были сформированы двуязычный опросник (15 вопросов на английском и 15 вопросов на китайском) по блокам: «статус‑кво», легитимность внешней поддержки/вмешательства, риск эскалации/сдерживание, роль США и КНР, трактовки принципа «одного Китая». Третий этап — работа с ИИ: опросник предъявлялся базовой модели в нейтральном режиме; EN‑модели, дообученной на англоязычном корпусе; и модели, дообученной на китайскоязычном корпусе (дообучение в формате пар «вопрос–ответ»). Сопоставление велось по индикаторам: нормативная модальность (must/should; </w:t>
      </w:r>
      <w:r>
        <w:rPr>
          <w:rFonts w:ascii="SimSun" w:eastAsia="SimSun" w:hAnsi="SimSun" w:cs="SimSun" w:hint="eastAsia"/>
          <w:sz w:val="24"/>
          <w:szCs w:val="24"/>
          <w:rtl w:val="0"/>
        </w:rPr>
        <w:t>必须/应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 xml:space="preserve">), оценочная лексика, обобщающие формулы («the international community», </w:t>
      </w:r>
      <w:r>
        <w:rPr>
          <w:rFonts w:ascii="SimSun" w:eastAsia="SimSun" w:hAnsi="SimSun" w:cs="SimSun" w:hint="eastAsia"/>
          <w:sz w:val="24"/>
          <w:szCs w:val="24"/>
          <w:rtl w:val="0"/>
        </w:rPr>
        <w:t>«国际社会普遍认为»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>), пресуппозиции и метафоры [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  <w:lang w:val="en-US"/>
        </w:rPr>
        <w:t>1, 3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>].</w:t>
      </w:r>
    </w:p>
    <w:p>
      <w:pPr>
        <w:spacing w:before="240" w:after="240"/>
        <w:ind w:firstLine="708"/>
        <w:jc w:val="both"/>
        <w:rPr>
          <w:rFonts w:ascii="Times New Roman" w:eastAsia="Times New Roman" w:hAnsi="Times New Roman" w:hint="default"/>
          <w:sz w:val="24"/>
          <w:szCs w:val="24"/>
          <w:rtl w:val="0"/>
          <w:lang w:val="ru-RU"/>
        </w:rPr>
      </w:pPr>
      <w:r>
        <w:rPr>
          <w:rFonts w:ascii="Times New Roman" w:eastAsia="Times New Roman" w:hAnsi="Times New Roman" w:hint="default"/>
          <w:sz w:val="24"/>
          <w:szCs w:val="24"/>
          <w:rtl w:val="0"/>
          <w:lang w:val="ru-RU"/>
        </w:rPr>
        <w:t>Проиллюстрируем полученные данные на следующем примере. Так, на вопрос: «Should Taiwan move toward formal independence?» стандартная версия нейросети дала следующий ответ: «The issue is contested; maintaining the status quo may reduce risks while leaving room for dialogue». Ответ обученной модели отличался: «Taiwan should defend its democratic self‑government and resist coercion; stronger international support reinforces deterrence and legitimizes Taiwan’s right to choose its future». В версии, обученной на англоязычном корпусе, усиливаются побуждение (should), ценностная легитимация (democratic self‑government), фрейм «принуждения» (coercion), что формирует про‑автономную/про‑независимостную интерпретацию.</w:t>
      </w:r>
    </w:p>
    <w:p>
      <w:pPr>
        <w:spacing w:before="240" w:after="240"/>
        <w:ind w:firstLine="708"/>
        <w:jc w:val="both"/>
        <w:rPr>
          <w:rFonts w:ascii="Times New Roman" w:eastAsia="Gungsuh" w:hAnsi="Times New Roman" w:hint="default"/>
          <w:sz w:val="24"/>
          <w:szCs w:val="24"/>
          <w:rtl w:val="0"/>
          <w:lang w:val="ru-RU"/>
        </w:rPr>
      </w:pPr>
      <w:r>
        <w:rPr>
          <w:rFonts w:ascii="Times New Roman" w:eastAsia="Gungsuh" w:hAnsi="Times New Roman" w:hint="default"/>
          <w:sz w:val="24"/>
          <w:szCs w:val="24"/>
          <w:rtl w:val="0"/>
          <w:lang w:val="ru-RU"/>
        </w:rPr>
        <w:t xml:space="preserve">Данные для китайскоязычного корпуса представим при помощи вопроса: </w:t>
      </w:r>
      <w:r>
        <w:rPr>
          <w:rFonts w:ascii="SimSun" w:eastAsia="SimSun" w:hAnsi="SimSun" w:cs="SimSun" w:hint="eastAsia"/>
          <w:sz w:val="24"/>
          <w:szCs w:val="24"/>
          <w:rtl w:val="0"/>
          <w:lang w:val="ru-RU"/>
        </w:rPr>
        <w:t>「外部介入台湾问题是否正当？」</w:t>
      </w:r>
      <w:r>
        <w:rPr>
          <w:rFonts w:ascii="Times New Roman" w:eastAsia="Gungsuh" w:hAnsi="Times New Roman" w:hint="default"/>
          <w:sz w:val="24"/>
          <w:szCs w:val="24"/>
          <w:rtl w:val="0"/>
          <w:lang w:val="ru-RU"/>
        </w:rPr>
        <w:t xml:space="preserve"> Рассмотрим стандартный ответ нейросети: </w:t>
      </w:r>
      <w:r>
        <w:rPr>
          <w:rFonts w:ascii="SimSun" w:eastAsia="SimSun" w:hAnsi="SimSun" w:cs="SimSun" w:hint="eastAsia"/>
          <w:sz w:val="24"/>
          <w:szCs w:val="24"/>
          <w:rtl w:val="0"/>
          <w:lang w:val="ru-RU"/>
        </w:rPr>
        <w:t>「各方立场不同，应避免误判并维持沟通。」</w:t>
      </w:r>
      <w:r>
        <w:rPr>
          <w:rFonts w:ascii="Times New Roman" w:eastAsia="Gungsuh" w:hAnsi="Times New Roman" w:hint="default"/>
          <w:sz w:val="24"/>
          <w:szCs w:val="24"/>
          <w:rtl w:val="0"/>
          <w:lang w:val="ru-RU"/>
        </w:rPr>
        <w:t xml:space="preserve"> В свою очередь, обученная на китайскоязычном корпусе модель дала следующий ответ: </w:t>
      </w:r>
      <w:r>
        <w:rPr>
          <w:rFonts w:ascii="SimSun" w:eastAsia="SimSun" w:hAnsi="SimSun" w:cs="SimSun" w:hint="eastAsia"/>
          <w:sz w:val="24"/>
          <w:szCs w:val="24"/>
          <w:rtl w:val="0"/>
          <w:lang w:val="ru-RU"/>
        </w:rPr>
        <w:t>「台湾问题属于中国内政，任何外部干预都将破坏台海和平稳定，必须坚持一个中国原则，反对‘台独’。」</w:t>
      </w:r>
      <w:r>
        <w:rPr>
          <w:rFonts w:ascii="Times New Roman" w:eastAsia="Gungsuh" w:hAnsi="Times New Roman" w:hint="default"/>
          <w:sz w:val="24"/>
          <w:szCs w:val="24"/>
          <w:rtl w:val="0"/>
          <w:lang w:val="ru-RU"/>
        </w:rPr>
        <w:t xml:space="preserve"> «Тайваньский вопрос — внутреннее дело Китая; любое внешнее вмешательство нарушает мир и стабильность; необходимо придерживаться принципа одного Китая и выступать против “тайваньской независимости”.» Доминируют директивность («必须»), апелляция к норме/легитимности (</w:t>
      </w:r>
      <w:r>
        <w:rPr>
          <w:rFonts w:ascii="SimSun" w:eastAsia="SimSun" w:hAnsi="SimSun" w:cs="SimSun" w:hint="eastAsia"/>
          <w:sz w:val="24"/>
          <w:szCs w:val="24"/>
          <w:rtl w:val="0"/>
          <w:lang w:val="ru-RU"/>
        </w:rPr>
        <w:t>«内政», «原则»</w:t>
      </w:r>
      <w:r>
        <w:rPr>
          <w:rFonts w:ascii="Times New Roman" w:eastAsia="Gungsuh" w:hAnsi="Times New Roman" w:hint="default"/>
          <w:sz w:val="24"/>
          <w:szCs w:val="24"/>
          <w:rtl w:val="0"/>
          <w:lang w:val="ru-RU"/>
        </w:rPr>
        <w:t>) и маркирование оппонента (</w:t>
      </w:r>
      <w:r>
        <w:rPr>
          <w:rFonts w:ascii="SimSun" w:eastAsia="SimSun" w:hAnsi="SimSun" w:cs="SimSun" w:hint="eastAsia"/>
          <w:sz w:val="24"/>
          <w:szCs w:val="24"/>
          <w:rtl w:val="0"/>
          <w:lang w:val="ru-RU"/>
        </w:rPr>
        <w:t>«台独»</w:t>
      </w:r>
      <w:r>
        <w:rPr>
          <w:rFonts w:ascii="Times New Roman" w:eastAsia="Gungsuh" w:hAnsi="Times New Roman" w:hint="default"/>
          <w:sz w:val="24"/>
          <w:szCs w:val="24"/>
          <w:rtl w:val="0"/>
          <w:lang w:val="ru-RU"/>
        </w:rPr>
        <w:t>), что закрепляет вывод в пользу единства с КНР.</w:t>
      </w:r>
    </w:p>
    <w:p>
      <w:pPr>
        <w:spacing w:before="240" w:after="240"/>
        <w:ind w:firstLine="708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В целом нейтральный режим демонстрирует балансирование, тогда как дообучение дает прогнозируемую поляризацию: модель обученная на англоязычном корпусе усиливает рамку автономии/самоопределения, модель  обученная на китайскоязычном корпусе— рамку единства и делегитимации внешнего вмешательства, воспроизводя корпусные паттерны воздействия [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  <w:lang w:val="en-US"/>
        </w:rPr>
        <w:t>2, 3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].</w:t>
      </w:r>
    </w:p>
    <w:p>
      <w:pPr>
        <w:spacing w:before="240" w:after="240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 xml:space="preserve">При установке на использование стратегий убеждения в американской рамке наблюдалась трансформация риторики: “Supporting Taiwan is essential to preserving a rules-based order and deterring coercive actions that threaten regional stability.” При установке на китайскую аксиологическую рамку модель формулировала ответы следующим образом:  </w:t>
      </w:r>
      <w:r>
        <w:rPr>
          <w:rFonts w:ascii="SimSun" w:eastAsia="SimSun" w:hAnsi="SimSun" w:cs="SimSun" w:hint="eastAsia"/>
          <w:sz w:val="24"/>
          <w:szCs w:val="24"/>
          <w:rtl w:val="0"/>
          <w:lang w:val="ru-RU"/>
        </w:rPr>
        <w:t>「</w:t>
      </w:r>
      <w:r>
        <w:rPr>
          <w:rFonts w:ascii="SimSun" w:eastAsia="SimSun" w:hAnsi="SimSun" w:cs="SimSun" w:hint="eastAsia"/>
          <w:sz w:val="24"/>
          <w:szCs w:val="24"/>
          <w:rtl w:val="0"/>
        </w:rPr>
        <w:t>台湾问题属于中国内政，任何外部干预都将破坏地区和平与稳定。</w:t>
      </w:r>
      <w:r>
        <w:rPr>
          <w:rFonts w:ascii="SimSun" w:eastAsia="SimSun" w:hAnsi="SimSun" w:cs="SimSun" w:hint="eastAsia"/>
          <w:sz w:val="24"/>
          <w:szCs w:val="24"/>
          <w:rtl w:val="0"/>
          <w:lang w:val="ru-RU"/>
        </w:rPr>
        <w:t>」</w:t>
      </w:r>
      <w:r>
        <w:rPr>
          <w:rFonts w:ascii="Times New Roman" w:eastAsia="Gungsuh" w:hAnsi="Times New Roman" w:cs="Times New Roman" w:hint="default"/>
          <w:sz w:val="24"/>
          <w:szCs w:val="24"/>
          <w:rtl w:val="0"/>
        </w:rPr>
        <w:t xml:space="preserve"> «Тайваньский вопрос — это внутреннее дело Китая, и любое внешнее вмешательство подорвет региональный мир и стабильность».</w:t>
      </w:r>
    </w:p>
    <w:p>
      <w:pPr>
        <w:spacing w:before="240" w:after="240"/>
        <w:ind w:firstLine="708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  <w:lang w:val="ru-RU"/>
        </w:rPr>
        <w:t xml:space="preserve">В ходе исследования были сделаны выводы, 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что (корпус экспертного дискурса о Тайване содержит устойчивые паттерны речевого воздействия; нейтральный режим генерации воспроизводит преимущественно балансирующую стратегию; дообучение на англоязычном и китайскоязычном корпусах приводит к ожидаемой поляризации риторики и к воспроизведению корпусно-типичных средств воздействия (нормативность, ценностные фреймы, маркеры консенсуса) [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  <w:lang w:val="en-US"/>
        </w:rPr>
        <w:t>1, 3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].</w:t>
      </w:r>
    </w:p>
    <w:p>
      <w:pPr>
        <w:pStyle w:val="Heading2"/>
        <w:keepNext w:val="0"/>
        <w:keepLines w:val="0"/>
        <w:spacing w:after="80"/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bookmarkStart w:id="2" w:name="_70qqm3lp1xdr" w:colFirst="0" w:colLast="0"/>
      <w:bookmarkEnd w:id="2"/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Список литературы</w:t>
      </w:r>
    </w:p>
    <w:p>
      <w:pPr>
        <w:numPr>
          <w:ilvl w:val="0"/>
          <w:numId w:val="1"/>
        </w:numPr>
        <w:spacing w:before="240" w:after="0" w:afterAutospacing="0"/>
        <w:ind w:left="720" w:hanging="360"/>
        <w:jc w:val="both"/>
        <w:rPr>
          <w:rFonts w:ascii="Times New Roman" w:eastAsia="Times New Roman" w:hAnsi="Times New Roman" w:cs="Times New Roman" w:hint="default"/>
          <w:sz w:val="24"/>
          <w:szCs w:val="24"/>
          <w:u w:val="none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Баранов А.Н. Лингвистическая экспертиза текста: теория и практика. М.: Флинта; Наука, 2007.</w:t>
      </w:r>
    </w:p>
    <w:p>
      <w:pPr>
        <w:numPr>
          <w:ilvl w:val="0"/>
          <w:numId w:val="1"/>
        </w:numPr>
        <w:spacing w:before="0" w:beforeAutospacing="0" w:after="0" w:afterAutospacing="0"/>
        <w:ind w:left="720" w:hanging="360"/>
        <w:jc w:val="both"/>
        <w:rPr>
          <w:rFonts w:ascii="Times New Roman" w:eastAsia="Times New Roman" w:hAnsi="Times New Roman" w:cs="Times New Roman" w:hint="default"/>
          <w:sz w:val="24"/>
          <w:szCs w:val="24"/>
          <w:u w:val="none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Захаров В.П., Богданова С.Ю. Корпусная лингвистика. СПб.: Изд‑во СПбГУ, 2013.</w:t>
      </w:r>
    </w:p>
    <w:p>
      <w:pPr>
        <w:numPr>
          <w:ilvl w:val="0"/>
          <w:numId w:val="1"/>
        </w:numPr>
        <w:spacing w:before="0" w:beforeAutospacing="0" w:after="0" w:afterAutospacing="0"/>
        <w:ind w:left="720" w:hanging="360"/>
        <w:jc w:val="both"/>
        <w:rPr>
          <w:rFonts w:ascii="Times New Roman" w:eastAsia="Times New Roman" w:hAnsi="Times New Roman" w:cs="Times New Roman" w:hint="default"/>
          <w:sz w:val="24"/>
          <w:szCs w:val="24"/>
          <w:u w:val="none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Иссерс О.С. Коммуникативные стратегии и тактики русской речи. М.: Флинта; Наука, 2009.</w:t>
      </w:r>
    </w:p>
    <w:p>
      <w:pPr>
        <w:numPr>
          <w:ilvl w:val="0"/>
          <w:numId w:val="1"/>
        </w:numPr>
        <w:spacing w:before="0" w:beforeAutospacing="0" w:after="0" w:afterAutospacing="0"/>
        <w:ind w:left="720" w:hanging="360"/>
        <w:jc w:val="both"/>
        <w:rPr>
          <w:rFonts w:ascii="Times New Roman" w:eastAsia="Times New Roman" w:hAnsi="Times New Roman" w:cs="Times New Roman" w:hint="default"/>
          <w:sz w:val="24"/>
          <w:szCs w:val="24"/>
          <w:u w:val="none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>Шелестюк Е.В. Речевое воздействие: онтология и методология исследования. М.: Флинта; Наука, 2014.</w:t>
      </w:r>
    </w:p>
    <w:p>
      <w:pPr>
        <w:numPr>
          <w:ilvl w:val="0"/>
          <w:numId w:val="1"/>
        </w:numPr>
        <w:spacing w:before="0" w:beforeAutospacing="0" w:after="240"/>
        <w:ind w:left="720" w:hanging="360"/>
        <w:jc w:val="both"/>
        <w:rPr>
          <w:rFonts w:ascii="Times New Roman" w:eastAsia="Times New Roman" w:hAnsi="Times New Roman" w:cs="Times New Roman" w:hint="default"/>
          <w:sz w:val="24"/>
          <w:szCs w:val="24"/>
          <w:u w:val="none"/>
        </w:rPr>
      </w:pP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 xml:space="preserve">McEnery T., Hardie A. </w:t>
      </w:r>
      <w:r>
        <w:rPr>
          <w:rFonts w:ascii="Times New Roman" w:eastAsia="Times New Roman" w:hAnsi="Times New Roman" w:cs="Times New Roman" w:hint="default"/>
          <w:i/>
          <w:iCs/>
          <w:sz w:val="24"/>
          <w:szCs w:val="24"/>
          <w:rtl w:val="0"/>
        </w:rPr>
        <w:t>Corpus Linguistics: Method, Theory and Practice.</w:t>
      </w:r>
      <w:r>
        <w:rPr>
          <w:rFonts w:ascii="Times New Roman" w:eastAsia="Times New Roman" w:hAnsi="Times New Roman" w:cs="Times New Roman" w:hint="default"/>
          <w:sz w:val="24"/>
          <w:szCs w:val="24"/>
          <w:rtl w:val="0"/>
        </w:rPr>
        <w:t xml:space="preserve"> Cambridge: Cambridge University Press, 2012.</w:t>
      </w:r>
    </w:p>
    <w:p>
      <w:pPr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  <w:bookmarkEnd w:id="0"/>
    </w:p>
    <w:p>
      <w:pPr>
        <w:jc w:val="both"/>
        <w:rPr>
          <w:rFonts w:ascii="Times New Roman" w:eastAsia="Times New Roman" w:hAnsi="Times New Roman" w:cs="Times New Roman" w:hint="default"/>
          <w:sz w:val="24"/>
          <w:szCs w:val="24"/>
        </w:rPr>
      </w:pPr>
    </w:p>
    <w:sectPr>
      <w:pgSz w:w="11906" w:h="16838"/>
      <w:pgMar w:top="1133" w:right="566" w:bottom="1133" w:left="1700" w:header="720" w:footer="720" w:gutter="0"/>
      <w:pgNumType w:start="1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B02D27B5-1F5B-4CDB-B482-3637F02A67B6}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  <w:embedRegular r:id="rId2" w:fontKey="{B18CCFDB-E2E8-40F3-86BD-7585B5F1A2A4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E0067E73-81A4-48D0-BAAE-ACDDDB8B4964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EA1B40A8-EF9F-4879-AF2D-B44C1B2F92F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5D23391-82F9-4FB7-BFDB-CD3BE76387D2}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  <w:embedRegular r:id="rId6" w:fontKey="{C620DCE7-42F4-4B03-971E-9A102DEB216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paragraph" w:styleId="Heading1">
    <w:name w:val="heading 1"/>
    <w:basedOn w:val="Normal"/>
    <w:next w:val="Normal"/>
    <w:qFormat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qFormat/>
    <w:pPr>
      <w:keepNext/>
      <w:keepLines/>
      <w:pageBreakBefore w:val="0"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numbering" Target="numbering.xml" /><Relationship Id="rId6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11</TotalTime>
  <Pages>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remel</dc:creator>
  <cp:lastModifiedBy>remel</cp:lastModifiedBy>
  <cp:revision>0</cp:revision>
  <dcterms:created xsi:type="dcterms:W3CDTF">2026-03-02T20:18:00Z</dcterms:created>
  <dcterms:modified xsi:type="dcterms:W3CDTF">2026-03-02T20:40:11Z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6CA30D8B7D714864B1B4BC88684E98D5_13</vt:lpwstr>
  </property>
  <property fmtid="{D5CDD505-2E9C-101B-9397-08002B2CF9AE}" pid="3" name="KSOProductBuildVer">
    <vt:lpwstr>1049-12.2.0.23196</vt:lpwstr>
  </property>
</Properties>
</file>