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b/>
          <w:bCs/>
          <w:color w:val="1F2937"/>
          <w:sz w:val="24"/>
          <w:szCs w:val="24"/>
        </w:rPr>
        <w:t>Имена собственные в текстах немецких коротких рассказов: функциональный и региональный аспекты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>Короткий рассказ (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Kurzgeschichte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) как жанр немецкоязычной литературы второй половины XX века характеризуется лаконичностью, фрагментарно</w:t>
      </w:r>
      <w:r>
        <w:rPr>
          <w:rFonts w:ascii="Times New Roman" w:hAnsi="Times New Roman" w:cs="Times New Roman"/>
          <w:color w:val="1F2937"/>
          <w:sz w:val="24"/>
          <w:szCs w:val="24"/>
        </w:rPr>
        <w:t>стью и особым вниманием к деталям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. В условиях ограниченного текстового пространства каждый элемент, включая имена собственные (антропонимы), приобретает повышенную семантическую и композиционную нагрузку. Имена перестают быть просто идентификаторами персонажей, превращаясь в инструмент создания подтекста, характеристики героя и маркер определенной культурной или региональной среды. Цель данной работы — выявить и проанализировать специфику использования антропонимов в текстах немецких коротких рассказов на примере произведений В.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Борхерта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, М.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Фриша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и З. Ленца.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Антропонимы в коротком рассказе выполняют ряд ключевых функций, среди которых особое место занимает </w:t>
      </w:r>
      <w:r>
        <w:rPr>
          <w:rFonts w:ascii="Times New Roman" w:hAnsi="Times New Roman" w:cs="Times New Roman"/>
          <w:color w:val="1F2937"/>
          <w:sz w:val="24"/>
          <w:szCs w:val="24"/>
        </w:rPr>
        <w:t>функция описания персонажа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. В рассказе Вольфганга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Борхерта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Schischyphusch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oder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Der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Kellner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meines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Onkels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» (1949) центральный персонаж — дядя рассказчика — имеет реальное имя: прототипом является Ганс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Зальхов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(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Hans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Salchow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), брат матери писателя [1].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Борхерт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создает своему дяде литературный памятник. Ветеран Первой мировой войны, потерявший ногу и часть языка,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Зальхов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предстает как уверенный, жизнерадостный человек, чья индивидуальность подчеркивается наличием имени и биографии. В противовес ему выступает безымянный официант, который символизирует обезличенных людей, вынужденных подавлять свою индивидуальность. Ключевым моментом рассказа становится то, что официант имеет прозвище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Schischyphusch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— так в детстве его дразнили из-за дефекта речи. Дядя, тронутый этой историей, уходя, называет официанта его прозвищем, и этот жест становится символом преодоления одиночества и зарождающейся дружбы [1].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Ярким примером характеризующей функции антропонимов служит пьеса Макса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Фриша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und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die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Brandstifter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» (1958), которая, хотя и является драматическим произведением, содержит показательный антропонимический материал и часто изучается в контексте немецкой короткой прозы [2]. Главный герой носит имя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Gottlieb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. Это имя является «говорящим»: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Gottlieb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(буквально «</w:t>
      </w:r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любящий</w:t>
      </w:r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Бога») отсылает к традиционным немецким именам с религиозным подтекстом, а фамилия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в немецком языке стала нарицательной. От прилагательного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(честный, добропорядочный, но также ограниченный, обывательский) образовано понятие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Biedermeier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— эпоха и стиль, символизирующие мещанский уют и аполитичность [5]. Таким образом, имя персонажа заранее задает его характеристику: это ограниченный обыватель, добропорядочный только внешне, который из страха и недальновидности помогает преступникам [2].</w:t>
      </w:r>
    </w:p>
    <w:p w:rsidR="001039FD" w:rsidRPr="001039FD" w:rsidRDefault="001039FD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В пьесе также значимы имена поджигателей: 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Josef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Schmitz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 и 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Willi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Eisenring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>. Фамилия «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Schmitz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» представляет собой вариант распространенной немецкой фамилии 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Schmidt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 xml:space="preserve"> (аналог русской фамилии «Кузнецов»), характе</w:t>
      </w:r>
      <w:r>
        <w:rPr>
          <w:rFonts w:ascii="Times New Roman" w:hAnsi="Times New Roman" w:cs="Times New Roman"/>
          <w:color w:val="1F2937"/>
          <w:sz w:val="24"/>
          <w:szCs w:val="24"/>
        </w:rPr>
        <w:t>рный для рейнского региона</w:t>
      </w:r>
      <w:r w:rsidRPr="001039FD">
        <w:rPr>
          <w:rFonts w:ascii="Times New Roman" w:hAnsi="Times New Roman" w:cs="Times New Roman"/>
          <w:color w:val="1F2937"/>
          <w:sz w:val="24"/>
          <w:szCs w:val="24"/>
        </w:rPr>
        <w:t>. Эта региональная окраска не случайна — действие пьесы разворачивается в атмосфере, напоминающей западногерманский город. Выбор фамилии подчеркивает «обычность», неприметность зла: преступники выглядят как обычные люди, и именно это позволяет им проникать в дома жертв [5]. Фамилия «</w:t>
      </w:r>
      <w:proofErr w:type="spellStart"/>
      <w:r w:rsidRPr="001039FD">
        <w:rPr>
          <w:rFonts w:ascii="Times New Roman" w:hAnsi="Times New Roman" w:cs="Times New Roman"/>
          <w:color w:val="1F2937"/>
          <w:sz w:val="24"/>
          <w:szCs w:val="24"/>
        </w:rPr>
        <w:t>Eisenring</w:t>
      </w:r>
      <w:proofErr w:type="spellEnd"/>
      <w:r w:rsidRPr="001039FD">
        <w:rPr>
          <w:rFonts w:ascii="Times New Roman" w:hAnsi="Times New Roman" w:cs="Times New Roman"/>
          <w:color w:val="1F2937"/>
          <w:sz w:val="24"/>
          <w:szCs w:val="24"/>
        </w:rPr>
        <w:t>» (буквально «железное кольцо») звучит более зловеще и ассоциируется с чем-то холодным</w:t>
      </w:r>
      <w:r>
        <w:rPr>
          <w:rFonts w:ascii="Times New Roman" w:hAnsi="Times New Roman" w:cs="Times New Roman"/>
          <w:color w:val="1F2937"/>
          <w:sz w:val="24"/>
          <w:szCs w:val="24"/>
        </w:rPr>
        <w:t>, механическим, неумолимым [2</w:t>
      </w:r>
      <w:bookmarkStart w:id="0" w:name="_GoBack"/>
      <w:bookmarkEnd w:id="0"/>
      <w:r w:rsidRPr="001039FD">
        <w:rPr>
          <w:rFonts w:ascii="Times New Roman" w:hAnsi="Times New Roman" w:cs="Times New Roman"/>
          <w:color w:val="1F2937"/>
          <w:sz w:val="24"/>
          <w:szCs w:val="24"/>
        </w:rPr>
        <w:t>].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>Регионально-маркирующая функция антропонимов может быть рассмотрена на примере сборника Зигфрида Ленца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So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zärtlich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war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Suleyken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» (1955), действие которого происходит в вымышленной деревне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Сулейкен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в Мазурии (Восточная Пруссия). Этот регион исторически характеризовался переплетением немецких, польских и литовских культурных влияний.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Ленц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использует имена, отражающие этническое разнообразие 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lastRenderedPageBreak/>
        <w:t xml:space="preserve">региона: польско-мазурские имена, такие как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Hamilkar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Schaß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,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Stanislaw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Skrrbik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,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Jadwiga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Plock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,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Ludwig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Karnickel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, соседствуют с </w:t>
      </w:r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немецкими</w:t>
      </w:r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[3, 4]. Сочетание немецких и славянских корней в антропонимике создает уникальный локальный колорит и подчеркивает пограничное положение региона. В послесловии к сборнику автор называет эти истории «подмигивающими признаниями в любви своей земле» и «маленькими исследованиями мазурской души», подчеркивая, что через имена и характеры он стремился передать сущность местных жителей — «внезапную хитрость», «медлительное коварство», «трогательное терпение» [6].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Взаимодействие полной и краткой формы имени также имеет композиционное значение. В рассказе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Борхерта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переход от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der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Kellner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(официант) к прозвищу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Schischyphusch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>» сигнализирует о ключевом моменте сюжета — установлении человеческой связи между совершенно разными людьми. Официант объясняет, что это прозвище он получил еще в школе из-за своего произношения. Дядя, тронутый этой историей, покидая заведение, оборачивается и называет официанта его прозвищем, обещая вернуться. Этот антропоним становится символом преодоления одиночества и знаком зарождающейся дружбы [1].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</w:rPr>
        <w:t>Таким обра</w:t>
      </w:r>
      <w:r>
        <w:rPr>
          <w:rFonts w:ascii="Times New Roman" w:hAnsi="Times New Roman" w:cs="Times New Roman"/>
          <w:color w:val="1F2937"/>
          <w:sz w:val="24"/>
          <w:szCs w:val="24"/>
        </w:rPr>
        <w:t>зом, исследование имен собственных в текстах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немецких коротких рассказов подтверждает, что имена собственные являются мощным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смыслообразующим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центром. В пьесе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Фриша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«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und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die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Brandstifter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» антропонимы выполняют характерологическую функцию, становясь «говорящими» именами, которые раскрывают сущность персонажей: фамилия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обличает ограниченность обывателя, а фамилии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Schmitz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и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Eisenring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подчеркивают контраст между внешней обыденностью и внутренней опасностью преступников. В сборнике Ленца регионально окрашенные имена служат для создания аутентичного локального фона Восточной Пруссии, отражая историческое многообразие региона. У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Борхерта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прозвище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</w:rPr>
        <w:t>Schischyphusch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</w:rPr>
        <w:t xml:space="preserve"> становится символом человечности и преодоления социальной изоляции. Дальнейшие исследования могут быть направлены на сопоставительный анализ антропонимических моделей в коротких рассказах различных немецкоязычных регионов.</w:t>
      </w:r>
    </w:p>
    <w:p w:rsidR="002C1359" w:rsidRPr="002C1359" w:rsidRDefault="002C1359" w:rsidP="002C1359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</w:rPr>
      </w:pPr>
      <w:r w:rsidRPr="002C1359">
        <w:rPr>
          <w:rFonts w:ascii="Times New Roman" w:hAnsi="Times New Roman" w:cs="Times New Roman"/>
          <w:b/>
          <w:bCs/>
          <w:color w:val="1F2937"/>
          <w:sz w:val="24"/>
          <w:szCs w:val="24"/>
        </w:rPr>
        <w:t>Список литературы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Borchert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W.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Schischyphusch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oder</w:t>
      </w:r>
      <w:proofErr w:type="spellEnd"/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Der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Kellner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meines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Onkels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//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Borchert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W. Das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Gesamtwerk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. — Hamburg: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Rowohlt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, 1949. — S. 189-199.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Frisch M.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Biedermann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und die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Brandstifter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: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Ein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Lehrstück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ohne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Lehre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. — Frankfurt </w:t>
      </w:r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am</w:t>
      </w:r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Main: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Suhrkamp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, 1958. — 96 S.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Lenz S. So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zärtlich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war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Suleyken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: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Masurische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Geschichten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. — Hamburg: Hoffmann und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Campe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, 1955. — 150 S.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Kluge M. Lenz, Siegfried: So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zärtlich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war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Suleyken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// Kindlers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Literatur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Lexikon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(KLL). — Stuttgart: J.B. Metzler, 2020.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The Fire Raisers (play) // Art and Popular Culture Encyclopedia. — URL: </w:t>
      </w:r>
      <w:hyperlink r:id="rId6" w:tgtFrame="_blank" w:history="1">
        <w:r w:rsidRPr="002C13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https://artandpopularculture.com/The_Fire_Raisers_(play)</w:t>
        </w:r>
      </w:hyperlink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 (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t>дата</w:t>
      </w: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r w:rsidRPr="002C1359">
        <w:rPr>
          <w:rFonts w:ascii="Times New Roman" w:hAnsi="Times New Roman" w:cs="Times New Roman"/>
          <w:color w:val="1F2937"/>
          <w:sz w:val="24"/>
          <w:szCs w:val="24"/>
        </w:rPr>
        <w:t>обращения</w:t>
      </w: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: 07.03.2026).</w:t>
      </w:r>
    </w:p>
    <w:p w:rsidR="002C1359" w:rsidRPr="002C1359" w:rsidRDefault="002C1359" w:rsidP="002C1359">
      <w:pPr>
        <w:numPr>
          <w:ilvl w:val="0"/>
          <w:numId w:val="5"/>
        </w:num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Lenz S.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Diskrete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Auskunft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über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Masuren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: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Nachwort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// </w:t>
      </w:r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So</w:t>
      </w:r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zärtlich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war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Suleyken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. — Frankfurt </w:t>
      </w:r>
      <w:proofErr w:type="gram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am</w:t>
      </w:r>
      <w:proofErr w:type="gram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Main: Fischer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Taschenbuch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 xml:space="preserve"> </w:t>
      </w:r>
      <w:proofErr w:type="spellStart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Verlag</w:t>
      </w:r>
      <w:proofErr w:type="spellEnd"/>
      <w:r w:rsidRPr="002C1359">
        <w:rPr>
          <w:rFonts w:ascii="Times New Roman" w:hAnsi="Times New Roman" w:cs="Times New Roman"/>
          <w:color w:val="1F2937"/>
          <w:sz w:val="24"/>
          <w:szCs w:val="24"/>
          <w:lang w:val="en-US"/>
        </w:rPr>
        <w:t>, 1977. — S. 117-118.</w:t>
      </w:r>
    </w:p>
    <w:p w:rsidR="002C1359" w:rsidRPr="001039FD" w:rsidRDefault="002C1359" w:rsidP="00A86EC7">
      <w:pPr>
        <w:pBdr>
          <w:top w:val="none" w:sz="0" w:space="0" w:color="1F2937"/>
          <w:left w:val="none" w:sz="0" w:space="0" w:color="1F2937"/>
          <w:bottom w:val="none" w:sz="0" w:space="0" w:color="1F2937"/>
          <w:right w:val="none" w:sz="0" w:space="0" w:color="1F2937"/>
          <w:between w:val="none" w:sz="0" w:space="0" w:color="1F2937"/>
        </w:pBdr>
        <w:spacing w:after="80" w:line="240" w:lineRule="auto"/>
        <w:jc w:val="both"/>
        <w:rPr>
          <w:rFonts w:ascii="Times New Roman" w:hAnsi="Times New Roman" w:cs="Times New Roman"/>
          <w:color w:val="1F2937"/>
          <w:sz w:val="24"/>
          <w:szCs w:val="24"/>
          <w:lang w:val="en-US"/>
        </w:rPr>
      </w:pPr>
    </w:p>
    <w:sectPr w:rsidR="002C1359" w:rsidRPr="001039FD" w:rsidSect="00465CC4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F2937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9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F2937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BF05235"/>
    <w:multiLevelType w:val="multilevel"/>
    <w:tmpl w:val="1CA8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6F"/>
    <w:rsid w:val="00011CBF"/>
    <w:rsid w:val="001039FD"/>
    <w:rsid w:val="001E3F23"/>
    <w:rsid w:val="002C1359"/>
    <w:rsid w:val="00465CC4"/>
    <w:rsid w:val="00644F6F"/>
    <w:rsid w:val="00A86EC7"/>
    <w:rsid w:val="00BC17B0"/>
    <w:rsid w:val="00D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65CC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35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C13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65CC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35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C13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82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658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26673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1513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6852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andpopularculture.com/The_Fire_Raisers_(play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Anna</cp:lastModifiedBy>
  <cp:revision>2</cp:revision>
  <dcterms:created xsi:type="dcterms:W3CDTF">2026-03-09T11:26:00Z</dcterms:created>
  <dcterms:modified xsi:type="dcterms:W3CDTF">2026-03-09T11:26:00Z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64695c9335a5431888cccae96f8e8e0a</vt:lpwstr>
  </property>
</Properties>
</file>