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Исследование </w:t>
      </w:r>
      <w:r w:rsidDel="00000000" w:rsidR="00000000" w:rsidRPr="00000000">
        <w:rPr>
          <w:b w:val="1"/>
          <w:bCs w:val="1"/>
          <w:rtl w:val="0"/>
        </w:rPr>
        <w:t xml:space="preserve">твердого полимерного электролита на основе </w:t>
      </w:r>
      <w:r w:rsidDel="00000000" w:rsidR="00000000" w:rsidRPr="00000000">
        <w:rPr>
          <w:b w:val="1"/>
          <w:bCs w:val="1"/>
          <w:rtl w:val="0"/>
        </w:rPr>
        <w:t xml:space="preserve">литированного</w:t>
      </w:r>
      <w:r w:rsidDel="00000000" w:rsidR="00000000" w:rsidRPr="00000000">
        <w:rPr>
          <w:b w:val="1"/>
          <w:bCs w:val="1"/>
          <w:rtl w:val="0"/>
        </w:rPr>
        <w:t xml:space="preserve"> иономера Aquivion для применения в литий-ионных аккумуляторах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Чибирева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С.Р. , Анисимова В.В. , Головин М.С. , Морозова С. М.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Студент, </w:t>
      </w:r>
      <w:r w:rsidDel="00000000" w:rsidR="00000000" w:rsidRPr="00000000">
        <w:rPr>
          <w:i w:val="1"/>
          <w:iCs w:val="1"/>
          <w:rtl w:val="0"/>
        </w:rPr>
        <w:t xml:space="preserve">1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курс </w:t>
      </w:r>
      <w:r w:rsidDel="00000000" w:rsidR="00000000" w:rsidRPr="00000000">
        <w:rPr>
          <w:i w:val="1"/>
          <w:iCs w:val="1"/>
          <w:rtl w:val="0"/>
        </w:rPr>
        <w:t xml:space="preserve">бакалавриата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Московский </w:t>
      </w:r>
      <w:r w:rsidDel="00000000" w:rsidR="00000000" w:rsidRPr="00000000">
        <w:rPr>
          <w:i w:val="1"/>
          <w:iCs w:val="1"/>
          <w:rtl w:val="0"/>
        </w:rPr>
        <w:t xml:space="preserve">физико-технический институт (национальный исследовательский университет), Долгопрудный, Россия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E-mail: </w:t>
      </w:r>
      <w:r w:rsidDel="00000000" w:rsidR="00000000" w:rsidRPr="00000000">
        <w:rPr>
          <w:i w:val="1"/>
          <w:iCs w:val="1"/>
          <w:rtl w:val="0"/>
        </w:rPr>
        <w:t xml:space="preserve">chibireva.sr@phystech.edu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В настоящее время литий-ионные аккумуляторы находят широкое применение в портативной электронике, электротранспорте, бытовой технике и системах накопления энергии. Но использование жидких электролитов обладает рядом недостатков, включая риск утечек и термического разложения, высокую горючесть и взрывоопасность. Перспективной альтернативой являются твердые полимерные электролиты, которые отличаются повышенной безопасностью и стабильностью.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В качестве материала для ТПЭ в данной работе был изучен перфторированный сульфосодержащий иономер Aquivion, используемый в составе мембранно-электродных блоков топливных элементов. Для адаптации к применению в литий-ионных аккумуляторах был проведен синтез (Рис 1, а).</w:t>
      </w:r>
    </w:p>
    <w:p w:rsidR="00000000" w:rsidDel="00000000" w:rsidP="00000000" w:rsidRDefault="00000000" w:rsidRPr="00000000" w14:paraId="00000008">
      <w:pPr>
        <w:spacing w:before="240" w:line="360" w:lineRule="auto"/>
        <w:ind w:firstLine="680"/>
        <w:jc w:val="both"/>
        <w:rPr/>
      </w:pPr>
      <w:r w:rsidDel="00000000" w:rsidR="00000000" w:rsidRPr="00000000">
        <w:rPr>
          <w:b w:val="1"/>
          <w:bCs w:val="1"/>
          <w:highlight w:val="white"/>
        </w:rPr>
        <w:drawing>
          <wp:inline distB="114300" distT="114300" distL="114300" distR="114300">
            <wp:extent cx="3893503" cy="132564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3503" cy="1325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1355081" cy="13335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5081" cy="133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Рис 1. Синтез </w:t>
      </w:r>
      <w:r w:rsidDel="00000000" w:rsidR="00000000" w:rsidRPr="00000000">
        <w:rPr>
          <w:highlight w:val="white"/>
          <w:rtl w:val="0"/>
        </w:rPr>
        <w:t xml:space="preserve">литированного</w:t>
      </w:r>
      <w:r w:rsidDel="00000000" w:rsidR="00000000" w:rsidRPr="00000000">
        <w:rPr>
          <w:highlight w:val="white"/>
          <w:rtl w:val="0"/>
        </w:rPr>
        <w:t xml:space="preserve"> Aquivion (а) и схема разобранной двухэлектродной электрохимической ячейки (б)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Формирование мембран осуществлялось двумя методами: в форме на электроплитке при 45 </w:t>
      </w:r>
      <w:r w:rsidDel="00000000" w:rsidR="00000000" w:rsidRPr="00000000">
        <w:rPr>
          <w:color w:val="001d35"/>
          <w:highlight w:val="white"/>
          <w:rtl w:val="0"/>
        </w:rPr>
        <w:t xml:space="preserve">°</w:t>
      </w:r>
      <w:r w:rsidDel="00000000" w:rsidR="00000000" w:rsidRPr="00000000">
        <w:rPr>
          <w:rtl w:val="0"/>
        </w:rPr>
        <w:t xml:space="preserve">С и на стенде для формирования мембран. Образцы дополнительно выдерживались в вакуумном шкафу при 60 </w:t>
      </w:r>
      <w:r w:rsidDel="00000000" w:rsidR="00000000" w:rsidRPr="00000000">
        <w:rPr>
          <w:color w:val="001d35"/>
          <w:highlight w:val="white"/>
          <w:rtl w:val="0"/>
        </w:rPr>
        <w:t xml:space="preserve">°</w:t>
      </w:r>
      <w:r w:rsidDel="00000000" w:rsidR="00000000" w:rsidRPr="00000000">
        <w:rPr>
          <w:rtl w:val="0"/>
        </w:rPr>
        <w:t xml:space="preserve">С. Измерения ионной проводимости мембран проводились методом импедансной спектроскопии в двухэлектродной ячейке (Рис 1, б). Значения проводимости рассчитывались по формуле: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center"/>
        <w:rPr/>
      </w:pPr>
      <m:oMath>
        <m:r>
          <w:rPr/>
          <m:t xml:space="preserve">σ</m:t>
        </m:r>
        <m:r>
          <w:rPr>
            <w:rFonts w:ascii="Roboto" w:cs="Roboto" w:eastAsia="Roboto" w:hAnsi="Roboto"/>
            <w:color w:val="0f1115"/>
          </w:rPr>
          <m:t xml:space="preserve">=</m:t>
        </m:r>
        <m:f>
          <m:fPr>
            <m:ctrlPr>
              <w:rPr>
                <w:rFonts w:ascii="Roboto" w:cs="Roboto" w:eastAsia="Roboto" w:hAnsi="Roboto"/>
                <w:color w:val="0f1115"/>
              </w:rPr>
            </m:ctrlPr>
          </m:fPr>
          <m:num>
            <m:r>
              <w:rPr>
                <w:rFonts w:ascii="Roboto" w:cs="Roboto" w:eastAsia="Roboto" w:hAnsi="Roboto"/>
                <w:color w:val="0f1115"/>
              </w:rPr>
              <m:t xml:space="preserve">l</m:t>
            </m:r>
          </m:num>
          <m:den>
            <m:r>
              <w:rPr>
                <w:rFonts w:ascii="Roboto" w:cs="Roboto" w:eastAsia="Roboto" w:hAnsi="Roboto"/>
                <w:color w:val="0f1115"/>
              </w:rPr>
              <m:t xml:space="preserve">R </m:t>
            </m:r>
            <m:r>
              <w:rPr>
                <w:rFonts w:ascii="Roboto" w:cs="Roboto" w:eastAsia="Roboto" w:hAnsi="Roboto"/>
                <w:color w:val="0f1115"/>
              </w:rPr>
              <m:t>×</m:t>
            </m:r>
            <m:r>
              <w:rPr>
                <w:rFonts w:ascii="Roboto" w:cs="Roboto" w:eastAsia="Roboto" w:hAnsi="Roboto"/>
                <w:color w:val="0f1115"/>
              </w:rPr>
              <m:t xml:space="preserve"> S</m:t>
            </m:r>
          </m:den>
        </m:f>
        <m:r>
          <w:rPr>
            <w:rFonts w:ascii="Roboto" w:cs="Roboto" w:eastAsia="Roboto" w:hAnsi="Roboto"/>
            <w:color w:val="0f1115"/>
          </w:rPr>
          <m:t xml:space="preserve"> </m:t>
        </m:r>
      </m:oMath>
      <w:r w:rsidDel="00000000" w:rsidR="00000000" w:rsidRPr="00000000">
        <w:rPr>
          <w:rFonts w:ascii="Roboto" w:cs="Roboto" w:eastAsia="Roboto" w:hAnsi="Roboto"/>
          <w:color w:val="0f1115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где l — толщина мембраны, R — сопротивление, S — площадь электрода. Экспериментальный график представлен на Рис 2, а. Рассчитанная проводимость  — </w:t>
      </w:r>
      <w:r w:rsidDel="00000000" w:rsidR="00000000" w:rsidRPr="00000000">
        <w:rPr>
          <w:color w:val="0f1115"/>
          <w:highlight w:val="white"/>
          <w:rtl w:val="0"/>
        </w:rPr>
        <w:t xml:space="preserve">6,08×10⁻⁸ См/см.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Дополнительно было исследовано влияние пропитки мембран ионной жидкостью. После измерения импеданса (Рис 2, б) была рассчитана ионная проводимость — </w:t>
      </w:r>
      <w:r w:rsidDel="00000000" w:rsidR="00000000" w:rsidRPr="00000000">
        <w:rPr>
          <w:color w:val="0f1115"/>
          <w:highlight w:val="white"/>
          <w:rtl w:val="0"/>
        </w:rPr>
        <w:t xml:space="preserve">1,533×10⁻⁹ См/см.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Fonts w:ascii="Roboto" w:cs="Roboto" w:eastAsia="Roboto" w:hAnsi="Roboto"/>
          <w:color w:val="0f1115"/>
        </w:rPr>
        <w:drawing>
          <wp:inline distB="114300" distT="114300" distL="114300" distR="114300">
            <wp:extent cx="2601009" cy="1112186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1774" l="0" r="413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1009" cy="11121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Roboto" w:cs="Roboto" w:eastAsia="Roboto" w:hAnsi="Roboto"/>
          <w:color w:val="0f1115"/>
        </w:rPr>
        <w:drawing>
          <wp:inline distB="114300" distT="114300" distL="114300" distR="114300">
            <wp:extent cx="2649284" cy="1108197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9284" cy="11081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center"/>
        <w:rPr/>
      </w:pPr>
      <w:bookmarkStart w:colFirst="0" w:colLast="0" w:name="_fqcg9dxnfhdj" w:id="0"/>
      <w:bookmarkEnd w:id="0"/>
      <w:r w:rsidDel="00000000" w:rsidR="00000000" w:rsidRPr="00000000">
        <w:rPr>
          <w:rtl w:val="0"/>
        </w:rPr>
        <w:t xml:space="preserve">Рис 2. Измерение импеданса исходной мембраны (а) и после пропитки ионной жидкостью (б)</w:t>
      </w:r>
    </w:p>
    <w:p w:rsidR="00000000" w:rsidDel="00000000" w:rsidP="00000000" w:rsidRDefault="00000000" w:rsidRPr="00000000" w14:paraId="00000010">
      <w:pPr>
        <w:ind w:firstLine="567"/>
        <w:jc w:val="center"/>
        <w:rPr>
          <w:i w:val="1"/>
          <w:iCs w:val="1"/>
        </w:rPr>
      </w:pPr>
      <w:bookmarkStart w:colFirst="0" w:colLast="0" w:name="_9slnu7qgpjcb" w:id="1"/>
      <w:bookmarkEnd w:id="1"/>
      <w:r w:rsidDel="00000000" w:rsidR="00000000" w:rsidRPr="00000000">
        <w:rPr>
          <w:i w:val="1"/>
          <w:iCs w:val="1"/>
          <w:rtl w:val="0"/>
        </w:rPr>
        <w:t xml:space="preserve">Исследование выполнено при поддержке Министерства науки и высшего образования Российской Федерации (Госзадание) проект FSMG-2025-0068.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127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