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hemeFill="background1"/>
        <w:spacing w:lineRule="auto" w:line="240" w:beforeAutospacing="0" w:before="0" w:afterAutospacing="0" w:after="0"/>
        <w:ind w:start="0"/>
        <w:jc w:val="center"/>
        <w:rPr/>
      </w:pPr>
      <w:r>
        <w:rPr>
          <w:rFonts w:eastAsia="Times New Roman" w:cs="Times New Roman" w:ascii="Times New Roman" w:hAnsi="Times New Roman"/>
          <w:b/>
          <w:bCs/>
          <w:color w:themeColor="text1" w:val="000000"/>
          <w:sz w:val="24"/>
          <w:szCs w:val="24"/>
          <w:lang w:val="ru-RU"/>
        </w:rPr>
        <w:t xml:space="preserve">Оптимизация и анализ механизма действия эволюционно новых по дескриптору </w:t>
      </w:r>
      <w:r>
        <w:rPr>
          <w:rFonts w:eastAsia="Times New Roman" w:cs="Times New Roman" w:ascii="Times New Roman" w:hAnsi="Times New Roman"/>
          <w:b/>
          <w:bCs/>
          <w:color w:themeColor="text1" w:val="000000"/>
          <w:sz w:val="24"/>
          <w:szCs w:val="24"/>
          <w:lang w:val="en-US"/>
        </w:rPr>
        <w:t xml:space="preserve">MCE-18 </w:t>
      </w:r>
      <w:r>
        <w:rPr>
          <w:rFonts w:eastAsia="Times New Roman" w:cs="Times New Roman" w:ascii="Times New Roman" w:hAnsi="Times New Roman"/>
          <w:b/>
          <w:bCs/>
          <w:color w:themeColor="text1" w:val="000000"/>
          <w:sz w:val="24"/>
          <w:szCs w:val="24"/>
          <w:lang w:val="ru-RU"/>
        </w:rPr>
        <w:t>соединений с противоопухолевым потенциалом на основе 1,3,4-оксадиазола с 2,4-диметилпирролом</w:t>
      </w:r>
    </w:p>
    <w:p>
      <w:pPr>
        <w:pStyle w:val="Normal"/>
        <w:shd w:val="clear" w:color="auto" w:fill="FFFFFF" w:themeFill="background1"/>
        <w:spacing w:lineRule="auto" w:line="240" w:beforeAutospacing="0" w:before="0" w:afterAutospacing="0" w:after="0"/>
        <w:ind w:start="0"/>
        <w:jc w:val="center"/>
        <w:rPr/>
      </w:pPr>
      <w:r>
        <w:rPr>
          <w:rFonts w:eastAsia="Times New Roman" w:cs="Times New Roman" w:ascii="Times New Roman" w:hAnsi="Times New Roman"/>
          <w:b/>
          <w:bCs/>
          <w:i/>
          <w:iCs/>
          <w:color w:themeColor="text1" w:val="000000"/>
          <w:sz w:val="24"/>
          <w:szCs w:val="24"/>
          <w:lang w:val="ru-RU"/>
        </w:rPr>
        <w:t>Дагаев Н.Д.</w:t>
      </w:r>
    </w:p>
    <w:p>
      <w:pPr>
        <w:pStyle w:val="Normal"/>
        <w:shd w:val="clear" w:color="auto" w:fill="FFFFFF" w:themeFill="background1"/>
        <w:spacing w:lineRule="auto" w:line="240" w:beforeAutospacing="0" w:before="0" w:afterAutospacing="0" w:after="0"/>
        <w:ind w:start="0"/>
        <w:jc w:val="center"/>
        <w:rPr/>
      </w:pPr>
      <w:r>
        <w:rPr>
          <w:rFonts w:eastAsia="Times New Roman" w:cs="Times New Roman" w:ascii="Times New Roman" w:hAnsi="Times New Roman"/>
          <w:i/>
          <w:iCs/>
          <w:color w:themeColor="text1" w:val="000000"/>
          <w:sz w:val="24"/>
          <w:szCs w:val="24"/>
          <w:lang w:val="ru-RU"/>
        </w:rPr>
        <w:t>Аспирант, 1 год обучения</w:t>
      </w:r>
    </w:p>
    <w:p>
      <w:pPr>
        <w:pStyle w:val="Normal"/>
        <w:shd w:val="clear" w:color="auto" w:fill="FFFFFF" w:themeFill="background1"/>
        <w:spacing w:lineRule="auto" w:line="240" w:beforeAutospacing="0" w:before="0" w:afterAutospacing="0" w:after="0"/>
        <w:ind w:start="0"/>
        <w:jc w:val="center"/>
        <w:rPr/>
      </w:pPr>
      <w:r>
        <w:rPr>
          <w:rFonts w:eastAsia="Times New Roman" w:cs="Times New Roman" w:ascii="Times New Roman" w:hAnsi="Times New Roman"/>
          <w:i/>
          <w:iCs/>
          <w:color w:themeColor="text1" w:val="000000"/>
          <w:sz w:val="24"/>
          <w:szCs w:val="24"/>
          <w:lang w:val="ru-RU"/>
        </w:rPr>
        <w:t>МГУ, факультет биоинженерии и биоинформатики, Москва, Россия</w:t>
      </w:r>
    </w:p>
    <w:p>
      <w:pPr>
        <w:pStyle w:val="Normal"/>
        <w:shd w:val="clear" w:color="auto" w:fill="FFFFFF" w:themeFill="background1"/>
        <w:spacing w:lineRule="auto" w:line="240" w:beforeAutospacing="0" w:before="0" w:afterAutospacing="0" w:after="0"/>
        <w:ind w:start="0"/>
        <w:jc w:val="center"/>
        <w:rPr/>
      </w:pPr>
      <w:r>
        <w:rPr>
          <w:rFonts w:eastAsia="Times New Roman" w:cs="Times New Roman" w:ascii="Times New Roman" w:hAnsi="Times New Roman"/>
          <w:i/>
          <w:iCs/>
          <w:color w:themeColor="text1" w:val="000000"/>
          <w:sz w:val="24"/>
          <w:szCs w:val="24"/>
          <w:lang w:val="ru-RU"/>
        </w:rPr>
        <w:t xml:space="preserve">E-mail: </w:t>
      </w:r>
      <w:hyperlink r:id="rId2">
        <w:r>
          <w:rPr>
            <w:rStyle w:val="Hyperlink"/>
            <w:rFonts w:eastAsia="Times New Roman" w:cs="Times New Roman" w:ascii="Times New Roman" w:hAnsi="Times New Roman"/>
            <w:i/>
            <w:iCs/>
            <w:strike w:val="false"/>
            <w:dstrike w:val="false"/>
            <w:color w:val="0563C1"/>
            <w:sz w:val="24"/>
            <w:szCs w:val="24"/>
            <w:u w:val="single"/>
            <w:lang w:val="en-US"/>
          </w:rPr>
          <w:t>nikolas.dagaev@yandex.ru</w:t>
        </w:r>
      </w:hyperlink>
    </w:p>
    <w:p>
      <w:pPr>
        <w:pStyle w:val="Normal"/>
        <w:shd w:val="clear" w:color="auto" w:fill="FFFFFF" w:themeFill="background1"/>
        <w:spacing w:lineRule="auto" w:line="240" w:beforeAutospacing="0" w:before="0" w:afterAutospacing="0" w:after="0"/>
        <w:ind w:firstLine="403" w:start="0"/>
        <w:jc w:val="both"/>
        <w:rPr/>
      </w:pPr>
      <w:r>
        <w:rPr>
          <w:rFonts w:eastAsia="Times New Roman" w:cs="Times New Roman" w:ascii="Times New Roman" w:hAnsi="Times New Roman"/>
          <w:color w:themeColor="text1" w:val="000000"/>
          <w:sz w:val="24"/>
          <w:szCs w:val="24"/>
          <w:lang w:val="ru-RU"/>
        </w:rPr>
        <w:t xml:space="preserve">Разработка принципиально новых низкомолекулярных противоопухолевых веществ считается одним из наиболее приоритетных направлений фармакологии </w:t>
      </w:r>
      <w:r>
        <w:rPr>
          <w:rFonts w:eastAsia="Times New Roman" w:cs="Times New Roman" w:ascii="Times New Roman" w:hAnsi="Times New Roman"/>
          <w:color w:themeColor="text1" w:val="000000"/>
          <w:sz w:val="24"/>
          <w:szCs w:val="24"/>
          <w:lang w:val="en-US"/>
        </w:rPr>
        <w:t>[1]</w:t>
      </w:r>
      <w:r>
        <w:rPr>
          <w:rFonts w:eastAsia="Times New Roman" w:cs="Times New Roman" w:ascii="Times New Roman" w:hAnsi="Times New Roman"/>
          <w:color w:themeColor="text1" w:val="000000"/>
          <w:sz w:val="24"/>
          <w:szCs w:val="24"/>
          <w:lang w:val="ru-RU"/>
        </w:rPr>
        <w:t xml:space="preserve">. </w:t>
      </w:r>
    </w:p>
    <w:p>
      <w:pPr>
        <w:pStyle w:val="Normal"/>
        <w:shd w:val="clear" w:color="auto" w:fill="FFFFFF" w:themeFill="background1"/>
        <w:spacing w:lineRule="auto" w:line="240" w:beforeAutospacing="0" w:before="0" w:afterAutospacing="0" w:after="0"/>
        <w:ind w:firstLine="403" w:start="0"/>
        <w:jc w:val="both"/>
        <w:rPr>
          <w:rFonts w:ascii="Times New Roman" w:hAnsi="Times New Roman" w:eastAsia="Times New Roman" w:cs="Times New Roman"/>
          <w:color w:themeColor="text1" w:val="000000"/>
          <w:sz w:val="24"/>
          <w:szCs w:val="24"/>
          <w:lang w:val="ru-RU"/>
        </w:rPr>
      </w:pPr>
      <w:r>
        <w:rPr>
          <w:rFonts w:eastAsia="Times New Roman" w:cs="Times New Roman" w:ascii="Times New Roman" w:hAnsi="Times New Roman"/>
          <w:color w:themeColor="text1" w:val="000000"/>
          <w:sz w:val="24"/>
          <w:szCs w:val="24"/>
          <w:lang w:val="ru-RU"/>
        </w:rPr>
        <w:t xml:space="preserve">Недавно нашей командой была обнаружена группа соединений на основе 1,3,4-оксадиазола с 2,4-диметилпирролом. Эти соединения обладали высокой селективностью действия в сокультуре </w:t>
      </w:r>
      <w:r>
        <w:rPr>
          <w:rFonts w:eastAsia="Times New Roman" w:cs="Times New Roman" w:ascii="Times New Roman" w:hAnsi="Times New Roman"/>
          <w:color w:themeColor="text1" w:val="000000"/>
          <w:sz w:val="24"/>
          <w:szCs w:val="24"/>
          <w:lang w:val="en-US"/>
        </w:rPr>
        <w:t xml:space="preserve">A549/VA13 </w:t>
      </w:r>
      <w:r>
        <w:rPr>
          <w:rFonts w:eastAsia="Times New Roman" w:cs="Times New Roman" w:ascii="Times New Roman" w:hAnsi="Times New Roman"/>
          <w:color w:themeColor="text1" w:val="000000"/>
          <w:sz w:val="24"/>
          <w:szCs w:val="24"/>
          <w:lang w:val="ru-RU"/>
        </w:rPr>
        <w:t xml:space="preserve">в широком диапазоне концентраций выше </w:t>
      </w:r>
      <w:r>
        <w:rPr>
          <w:rFonts w:eastAsia="Times New Roman" w:cs="Times New Roman" w:ascii="Times New Roman" w:hAnsi="Times New Roman"/>
          <w:color w:themeColor="text1" w:val="000000"/>
          <w:sz w:val="24"/>
          <w:szCs w:val="24"/>
          <w:lang w:val="en-US"/>
        </w:rPr>
        <w:t xml:space="preserve">CC50, </w:t>
      </w:r>
      <w:r>
        <w:rPr>
          <w:rFonts w:eastAsia="Times New Roman" w:cs="Times New Roman" w:ascii="Times New Roman" w:hAnsi="Times New Roman"/>
          <w:color w:themeColor="text1" w:val="000000"/>
          <w:sz w:val="24"/>
          <w:szCs w:val="24"/>
          <w:lang w:val="ru-RU"/>
        </w:rPr>
        <w:t>в том числе и в наномолярном. Селективность была подтверждена при валидации на монокультурах тестом по Мосману.</w:t>
      </w:r>
    </w:p>
    <w:p>
      <w:pPr>
        <w:pStyle w:val="Normal"/>
        <w:shd w:val="clear" w:color="auto" w:fill="FFFFFF" w:themeFill="background1"/>
        <w:spacing w:lineRule="auto" w:line="240" w:beforeAutospacing="0" w:before="0" w:afterAutospacing="0" w:after="0"/>
        <w:ind w:firstLine="403" w:start="0"/>
        <w:jc w:val="both"/>
        <w:rPr>
          <w:rFonts w:ascii="Times New Roman" w:hAnsi="Times New Roman" w:eastAsia="Times New Roman" w:cs="Times New Roman"/>
          <w:color w:themeColor="text1" w:val="000000"/>
          <w:sz w:val="24"/>
          <w:szCs w:val="24"/>
          <w:lang w:val="ru-RU"/>
        </w:rPr>
      </w:pPr>
      <w:r>
        <w:rPr>
          <w:rFonts w:eastAsia="Times New Roman" w:cs="Times New Roman" w:ascii="Times New Roman" w:hAnsi="Times New Roman"/>
          <w:color w:themeColor="text1" w:val="000000"/>
          <w:sz w:val="24"/>
          <w:szCs w:val="24"/>
          <w:lang w:val="ru-RU"/>
        </w:rPr>
        <w:t xml:space="preserve">После обнаружения данной группы веществ нами параллельно проводилась оптимизация структуры молекулы и установление механизма действия. </w:t>
      </w:r>
    </w:p>
    <w:p>
      <w:pPr>
        <w:pStyle w:val="Normal"/>
        <w:shd w:val="clear" w:color="auto" w:fill="FFFFFF" w:themeFill="background1"/>
        <w:spacing w:lineRule="auto" w:line="240" w:beforeAutospacing="0" w:before="0" w:afterAutospacing="0" w:after="0"/>
        <w:ind w:firstLine="403" w:start="0"/>
        <w:jc w:val="both"/>
        <w:rPr>
          <w:rFonts w:ascii="Times New Roman" w:hAnsi="Times New Roman" w:eastAsia="Times New Roman" w:cs="Times New Roman"/>
          <w:color w:themeColor="text1" w:val="000000"/>
          <w:sz w:val="24"/>
          <w:szCs w:val="24"/>
          <w:lang w:val="ru-RU"/>
        </w:rPr>
      </w:pPr>
      <w:r>
        <w:rPr>
          <w:rFonts w:eastAsia="Times New Roman" w:cs="Times New Roman" w:ascii="Times New Roman" w:hAnsi="Times New Roman"/>
          <w:color w:themeColor="text1" w:val="000000"/>
          <w:sz w:val="24"/>
          <w:szCs w:val="24"/>
          <w:lang w:val="ru-RU"/>
        </w:rPr>
        <w:t>Оптимизация проводилась на основе коллекции веществ, сформированной при разбиении структуры на жесткие фрагменты и попарного сопоставления влияния замены одного фрагмента на аналогичный на цитотоксичность и избирательность. После двух итераций оптимизации было обнаружено соединение с наибольшей перспективностью, 9_2_G-07. Из всех веществ группы оно обладало наивысшей избирательностью с точки зрения соотношения IC50, а также действовало в наномолярном диапазоне.</w:t>
      </w:r>
    </w:p>
    <w:p>
      <w:pPr>
        <w:pStyle w:val="Normal"/>
        <w:shd w:val="clear" w:color="auto" w:fill="FFFFFF" w:themeFill="background1"/>
        <w:spacing w:lineRule="auto" w:line="240" w:beforeAutospacing="0" w:before="0" w:afterAutospacing="0" w:after="0"/>
        <w:ind w:firstLine="403" w:start="0"/>
        <w:jc w:val="both"/>
        <w:rPr>
          <w:rFonts w:ascii="Times New Roman" w:hAnsi="Times New Roman" w:eastAsia="Times New Roman" w:cs="Times New Roman"/>
          <w:color w:themeColor="text1" w:val="000000"/>
          <w:sz w:val="24"/>
          <w:szCs w:val="24"/>
          <w:lang w:val="ru-RU"/>
        </w:rPr>
      </w:pPr>
      <w:r>
        <w:rPr>
          <w:rFonts w:eastAsia="Times New Roman" w:cs="Times New Roman" w:ascii="Times New Roman" w:hAnsi="Times New Roman"/>
          <w:color w:themeColor="text1" w:val="000000"/>
          <w:sz w:val="24"/>
          <w:szCs w:val="24"/>
          <w:lang w:val="ru-RU"/>
        </w:rPr>
        <w:t xml:space="preserve">При изучении механизма действия 9_2_G-07 была выдвинута гипотеза о его связывании с тубулином в связи со схожим с антитубулиновыми препаратами видом избирательности действия. С помощью теста на остановку клеточного цикла было показано, что вещество останавливало цикл в </w:t>
      </w:r>
      <w:r>
        <w:rPr>
          <w:rFonts w:eastAsia="Times New Roman" w:cs="Times New Roman" w:ascii="Times New Roman" w:hAnsi="Times New Roman"/>
          <w:color w:themeColor="text1" w:val="000000"/>
          <w:sz w:val="24"/>
          <w:szCs w:val="24"/>
          <w:lang w:val="en-US"/>
        </w:rPr>
        <w:t xml:space="preserve">G2/M </w:t>
      </w:r>
      <w:r>
        <w:rPr>
          <w:rFonts w:eastAsia="Times New Roman" w:cs="Times New Roman" w:ascii="Times New Roman" w:hAnsi="Times New Roman"/>
          <w:color w:themeColor="text1" w:val="000000"/>
          <w:sz w:val="24"/>
          <w:szCs w:val="24"/>
          <w:lang w:val="ru-RU"/>
        </w:rPr>
        <w:t>фазе. По результатам теста на ингибирование полимеризации тубулина было выявлено, что 9_2_G-07 показало высокую ингибирующую способность на уровне комбретастатина А-4.</w:t>
      </w:r>
    </w:p>
    <w:p>
      <w:pPr>
        <w:pStyle w:val="Normal"/>
        <w:shd w:val="clear" w:color="auto" w:fill="FFFFFF" w:themeFill="background1"/>
        <w:spacing w:lineRule="auto" w:line="240" w:beforeAutospacing="0" w:before="0" w:afterAutospacing="0" w:after="0"/>
        <w:ind w:firstLine="403" w:start="0"/>
        <w:jc w:val="both"/>
        <w:rPr>
          <w:rFonts w:ascii="Times New Roman" w:hAnsi="Times New Roman" w:eastAsia="Times New Roman" w:cs="Times New Roman"/>
          <w:color w:themeColor="text1" w:val="000000"/>
          <w:sz w:val="24"/>
          <w:szCs w:val="24"/>
          <w:lang w:val="ru-RU"/>
        </w:rPr>
      </w:pPr>
      <w:r>
        <w:rPr>
          <w:rFonts w:eastAsia="Times New Roman" w:cs="Times New Roman" w:ascii="Times New Roman" w:hAnsi="Times New Roman"/>
          <w:color w:themeColor="text1" w:val="000000"/>
          <w:sz w:val="24"/>
          <w:szCs w:val="24"/>
          <w:lang w:val="ru-RU"/>
        </w:rPr>
        <w:t>Помимо этого, для выявления возможного сайта связывания лидерного соединения был проведен молекулярный докинг в известные сайты тубулина. По его результатам наиболее вероятным сайтом связывания является сайт тодалама [2].</w:t>
      </w:r>
    </w:p>
    <w:p>
      <w:pPr>
        <w:pStyle w:val="Normal"/>
        <w:shd w:val="clear" w:color="auto" w:fill="FFFFFF" w:themeFill="background1"/>
        <w:spacing w:lineRule="auto" w:line="240" w:beforeAutospacing="0" w:before="0" w:afterAutospacing="0" w:after="0"/>
        <w:ind w:hanging="0" w:start="0"/>
        <w:jc w:val="center"/>
        <w:rPr>
          <w:rFonts w:ascii="Times New Roman" w:hAnsi="Times New Roman" w:eastAsia="Times New Roman" w:cs="Times New Roman"/>
          <w:i w:val="false"/>
          <w:i w:val="false"/>
          <w:iCs w:val="false"/>
          <w:color w:themeColor="text1" w:val="000000"/>
          <w:sz w:val="24"/>
          <w:szCs w:val="24"/>
          <w:lang w:val="ru-RU"/>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368290" cy="184848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3"/>
                    <a:stretch>
                      <a:fillRect/>
                    </a:stretch>
                  </pic:blipFill>
                  <pic:spPr bwMode="auto">
                    <a:xfrm>
                      <a:off x="0" y="0"/>
                      <a:ext cx="5368290" cy="1848485"/>
                    </a:xfrm>
                    <a:prstGeom prst="rect">
                      <a:avLst/>
                    </a:prstGeom>
                    <a:noFill/>
                  </pic:spPr>
                </pic:pic>
              </a:graphicData>
            </a:graphic>
          </wp:anchor>
        </w:drawing>
      </w:r>
      <w:r>
        <w:rPr>
          <w:rFonts w:eastAsia="Times New Roman" w:cs="Times New Roman" w:ascii="Times New Roman" w:hAnsi="Times New Roman"/>
          <w:i w:val="false"/>
          <w:iCs w:val="false"/>
          <w:color w:themeColor="text1" w:val="000000"/>
          <w:sz w:val="24"/>
          <w:szCs w:val="24"/>
          <w:lang w:val="ru-RU"/>
        </w:rPr>
        <w:t xml:space="preserve">Рис. 1. </w:t>
      </w:r>
      <w:r>
        <w:rPr>
          <w:rFonts w:eastAsia="Times New Roman" w:cs="Times New Roman" w:ascii="Times New Roman" w:hAnsi="Times New Roman"/>
          <w:b/>
          <w:bCs/>
          <w:i w:val="false"/>
          <w:iCs w:val="false"/>
          <w:color w:themeColor="text1" w:val="000000"/>
          <w:sz w:val="24"/>
          <w:szCs w:val="24"/>
          <w:lang w:val="en-US"/>
        </w:rPr>
        <w:t>A</w:t>
      </w:r>
      <w:r>
        <w:rPr>
          <w:rFonts w:eastAsia="Times New Roman" w:cs="Times New Roman" w:ascii="Times New Roman" w:hAnsi="Times New Roman"/>
          <w:i w:val="false"/>
          <w:iCs w:val="false"/>
          <w:color w:themeColor="text1" w:val="000000"/>
          <w:sz w:val="24"/>
          <w:szCs w:val="24"/>
          <w:lang w:val="ru-RU"/>
        </w:rPr>
        <w:t xml:space="preserve"> Структура 9_2_G-07 в сравнении с тодаламом-18; </w:t>
      </w:r>
      <w:r>
        <w:rPr>
          <w:rFonts w:eastAsia="Times New Roman" w:cs="Times New Roman" w:ascii="Times New Roman" w:hAnsi="Times New Roman"/>
          <w:b/>
          <w:bCs/>
          <w:i w:val="false"/>
          <w:iCs w:val="false"/>
          <w:color w:themeColor="text1" w:val="000000"/>
          <w:sz w:val="24"/>
          <w:szCs w:val="24"/>
          <w:lang w:val="en-US"/>
        </w:rPr>
        <w:t>B</w:t>
      </w:r>
      <w:r>
        <w:rPr>
          <w:rFonts w:eastAsia="Times New Roman" w:cs="Times New Roman" w:ascii="Times New Roman" w:hAnsi="Times New Roman"/>
          <w:i w:val="false"/>
          <w:iCs w:val="false"/>
          <w:color w:themeColor="text1" w:val="000000"/>
          <w:sz w:val="24"/>
          <w:szCs w:val="24"/>
          <w:lang w:val="ru-RU"/>
        </w:rPr>
        <w:t xml:space="preserve"> График зависимости доли выживших клеток от концентрации препарата 9_2_G-07 в ходе теста по Мосману</w:t>
      </w:r>
    </w:p>
    <w:p>
      <w:pPr>
        <w:pStyle w:val="Normal"/>
        <w:shd w:val="clear" w:color="auto" w:fill="FFFFFF" w:themeFill="background1"/>
        <w:spacing w:lineRule="auto" w:line="240" w:beforeAutospacing="0" w:before="0" w:afterAutospacing="0" w:after="0"/>
        <w:ind w:start="0"/>
        <w:jc w:val="center"/>
        <w:rPr/>
      </w:pPr>
      <w:r>
        <w:rPr>
          <w:rFonts w:eastAsia="Times New Roman" w:cs="Times New Roman" w:ascii="Times New Roman" w:hAnsi="Times New Roman"/>
          <w:b/>
          <w:bCs/>
          <w:color w:themeColor="text1" w:val="000000"/>
          <w:sz w:val="24"/>
          <w:szCs w:val="24"/>
          <w:lang w:val="ru-RU"/>
        </w:rPr>
        <w:t>Литература</w:t>
      </w:r>
    </w:p>
    <w:p>
      <w:pPr>
        <w:pStyle w:val="Normal"/>
        <w:spacing w:lineRule="auto" w:line="240" w:beforeAutospacing="0" w:before="0" w:afterAutospacing="0" w:after="0"/>
        <w:ind w:start="0"/>
        <w:jc w:val="both"/>
        <w:rPr>
          <w:rFonts w:ascii="Times New Roman" w:hAnsi="Times New Roman" w:eastAsia="Times New Roman" w:cs="Times New Roman"/>
          <w:color w:themeColor="text1" w:val="000000"/>
          <w:sz w:val="24"/>
          <w:szCs w:val="24"/>
          <w:lang w:val="en-US"/>
        </w:rPr>
      </w:pPr>
      <w:r>
        <w:rPr>
          <w:rFonts w:eastAsia="Times New Roman" w:cs="Times New Roman" w:ascii="Times New Roman" w:hAnsi="Times New Roman"/>
          <w:color w:themeColor="text1" w:val="000000"/>
          <w:sz w:val="24"/>
          <w:szCs w:val="24"/>
          <w:lang w:val="en-US"/>
        </w:rPr>
        <w:t>1. Jaffee, E. M., Van Dang, C., Agus, D. B., Alexander, B. M., Anderson, K. C., Ashworth, A., Barker, A. D., Bastani, R., Bhatia, S., Bluestone, J. A., Brawley, O., Butte, A. J., Coit, D. G., Davidson, N. E., Davis, M., DePinho, R. A., Diasio, R. B., Draetta, G., Frazier, A. L., et al. Future cancer research priorities in the USA: a Lancet Oncology Commission // Lanc</w:t>
      </w:r>
      <w:r>
        <w:rPr>
          <w:rFonts w:eastAsia="Times New Roman" w:cs="Times New Roman" w:ascii="Times New Roman" w:hAnsi="Times New Roman"/>
          <w:color w:themeColor="text1" w:val="000000"/>
          <w:sz w:val="24"/>
          <w:szCs w:val="24"/>
          <w:lang w:val="en-US"/>
        </w:rPr>
        <w:t>et</w:t>
      </w:r>
      <w:r>
        <w:rPr>
          <w:rFonts w:eastAsia="Times New Roman" w:cs="Times New Roman" w:ascii="Times New Roman" w:hAnsi="Times New Roman"/>
          <w:color w:themeColor="text1" w:val="000000"/>
          <w:sz w:val="24"/>
          <w:szCs w:val="24"/>
          <w:lang w:val="en-US"/>
        </w:rPr>
        <w:t xml:space="preserve"> Onc</w:t>
      </w:r>
      <w:r>
        <w:rPr>
          <w:rFonts w:eastAsia="Times New Roman" w:cs="Times New Roman" w:ascii="Times New Roman" w:hAnsi="Times New Roman"/>
          <w:color w:themeColor="text1" w:val="000000"/>
          <w:sz w:val="24"/>
          <w:szCs w:val="24"/>
          <w:lang w:val="en-US"/>
        </w:rPr>
        <w:t>ol</w:t>
      </w:r>
      <w:r>
        <w:rPr>
          <w:rFonts w:eastAsia="Times New Roman" w:cs="Times New Roman" w:ascii="Times New Roman" w:hAnsi="Times New Roman"/>
          <w:color w:themeColor="text1" w:val="000000"/>
          <w:sz w:val="24"/>
          <w:szCs w:val="24"/>
          <w:lang w:val="en-US"/>
        </w:rPr>
        <w:t>. 2017. № 18, Vol. 11. P. 653–706. DOI: 10.1016/s1470-2045(17)30698-8</w:t>
      </w:r>
    </w:p>
    <w:p>
      <w:pPr>
        <w:pStyle w:val="Normal"/>
        <w:spacing w:lineRule="auto" w:line="240" w:beforeAutospacing="0" w:before="0" w:afterAutospacing="0" w:after="0"/>
        <w:ind w:start="0"/>
        <w:jc w:val="both"/>
        <w:rPr>
          <w:rFonts w:ascii="Times New Roman" w:hAnsi="Times New Roman" w:eastAsia="Times New Roman" w:cs="Times New Roman"/>
          <w:color w:themeColor="text1" w:val="000000"/>
          <w:sz w:val="24"/>
          <w:szCs w:val="24"/>
          <w:lang w:val="en-US"/>
        </w:rPr>
      </w:pPr>
      <w:r>
        <w:rPr>
          <w:rFonts w:eastAsia="Times New Roman" w:cs="Times New Roman" w:ascii="Times New Roman" w:hAnsi="Times New Roman"/>
          <w:color w:themeColor="text1" w:val="000000"/>
          <w:sz w:val="24"/>
          <w:szCs w:val="24"/>
          <w:lang w:val="en-US"/>
        </w:rPr>
        <w:t>2. Muhlethaler T., Milanos L., Ortega J., Blum T., Gioia D., Roy B., Prota A., Cavalli A., Steinmetz M. Rational Design of a Novel Tubulin Inhibitor with a Unique Mechanism of Action // Angew. Chem. 2022. Vol. 61. P. 1-11. DOI: 10.1002/anie.202204052</w:t>
      </w:r>
    </w:p>
    <w:sectPr>
      <w:type w:val="nextPage"/>
      <w:pgSz w:w="11906" w:h="16838"/>
      <w:pgMar w:left="1361" w:right="136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0"/>
      <w:sz w:val="24"/>
      <w:szCs w:val="24"/>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1ac28768"/>
    <w:rPr>
      <w:color w:val="467886"/>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ikolas.dagaev@yandex.ru" TargetMode="External"/><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LibreOffice/25.8.3.2$Windows_X86_64 LibreOffice_project/8ca8d55c161d602844f5428fa4b58097424e324e</Application>
  <AppVersion>15.0000</AppVersion>
  <Pages>1</Pages>
  <Words>393</Words>
  <Characters>2534</Characters>
  <CharactersWithSpaces>2913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2026-03-02T13:24:53Z</dcterms:created>
  <dc:creator>Николай Дагаев</dc:creator>
  <dc:description/>
  <dc:language>en-US</dc:language>
  <cp:lastModifiedBy/>
  <dcterms:modified xsi:type="dcterms:W3CDTF">2026-03-12T12:01:16Z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