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2D" w:rsidRPr="009000CA" w:rsidRDefault="008003A9" w:rsidP="008003A9">
      <w:pPr>
        <w:spacing w:before="0" w:after="0"/>
        <w:ind w:firstLine="0"/>
        <w:jc w:val="center"/>
        <w:rPr>
          <w:b/>
        </w:rPr>
      </w:pPr>
      <w:r>
        <w:rPr>
          <w:b/>
        </w:rPr>
        <w:t>Метод в</w:t>
      </w:r>
      <w:r w:rsidRPr="004174B4">
        <w:rPr>
          <w:b/>
        </w:rPr>
        <w:t xml:space="preserve">ыделения </w:t>
      </w:r>
      <w:proofErr w:type="spellStart"/>
      <w:r w:rsidRPr="004174B4">
        <w:rPr>
          <w:b/>
        </w:rPr>
        <w:t>микроРНК</w:t>
      </w:r>
      <w:proofErr w:type="spellEnd"/>
      <w:r w:rsidRPr="004174B4">
        <w:rPr>
          <w:b/>
        </w:rPr>
        <w:t xml:space="preserve"> из образцов </w:t>
      </w:r>
      <w:r>
        <w:rPr>
          <w:b/>
        </w:rPr>
        <w:t xml:space="preserve">крови </w:t>
      </w:r>
      <w:r w:rsidRPr="004174B4">
        <w:rPr>
          <w:b/>
        </w:rPr>
        <w:t xml:space="preserve">с использованием </w:t>
      </w:r>
      <w:r>
        <w:rPr>
          <w:b/>
        </w:rPr>
        <w:t>а</w:t>
      </w:r>
      <w:r w:rsidRPr="004174B4">
        <w:rPr>
          <w:b/>
        </w:rPr>
        <w:t>ффинны</w:t>
      </w:r>
      <w:r>
        <w:rPr>
          <w:b/>
        </w:rPr>
        <w:t>х сорбентов</w:t>
      </w:r>
    </w:p>
    <w:p w:rsidR="0057542D" w:rsidRDefault="00F0266F" w:rsidP="00755A73">
      <w:pPr>
        <w:spacing w:before="0" w:after="0"/>
        <w:ind w:firstLine="0"/>
        <w:jc w:val="center"/>
        <w:rPr>
          <w:b/>
          <w:i/>
        </w:rPr>
      </w:pPr>
      <w:r>
        <w:rPr>
          <w:b/>
          <w:i/>
        </w:rPr>
        <w:t>Бай П</w:t>
      </w:r>
      <w:r w:rsidR="006F02A2">
        <w:rPr>
          <w:b/>
          <w:i/>
        </w:rPr>
        <w:t>.</w:t>
      </w:r>
      <w:r>
        <w:rPr>
          <w:b/>
          <w:i/>
        </w:rPr>
        <w:t>А</w:t>
      </w:r>
      <w:r w:rsidR="0057542D">
        <w:rPr>
          <w:b/>
          <w:i/>
        </w:rPr>
        <w:t>.</w:t>
      </w:r>
      <w:r w:rsidR="00994296" w:rsidRPr="00994296">
        <w:rPr>
          <w:b/>
          <w:i/>
        </w:rPr>
        <w:t xml:space="preserve">, </w:t>
      </w:r>
      <w:r>
        <w:rPr>
          <w:b/>
          <w:i/>
        </w:rPr>
        <w:t>Сахаров И.Ю</w:t>
      </w:r>
      <w:r w:rsidR="0057542D">
        <w:rPr>
          <w:b/>
          <w:i/>
        </w:rPr>
        <w:t>.</w:t>
      </w:r>
    </w:p>
    <w:p w:rsidR="0057542D" w:rsidRPr="00A138C5" w:rsidRDefault="0057542D" w:rsidP="00755A73">
      <w:pPr>
        <w:spacing w:before="0" w:after="0"/>
        <w:ind w:firstLine="0"/>
        <w:jc w:val="center"/>
        <w:rPr>
          <w:i/>
        </w:rPr>
      </w:pPr>
      <w:r w:rsidRPr="00A138C5">
        <w:rPr>
          <w:i/>
        </w:rPr>
        <w:t xml:space="preserve">Студент, </w:t>
      </w:r>
      <w:r>
        <w:rPr>
          <w:i/>
        </w:rPr>
        <w:t>6</w:t>
      </w:r>
      <w:r w:rsidRPr="00A138C5">
        <w:rPr>
          <w:i/>
        </w:rPr>
        <w:t xml:space="preserve"> курса </w:t>
      </w:r>
      <w:proofErr w:type="spellStart"/>
      <w:r w:rsidRPr="00A138C5">
        <w:rPr>
          <w:i/>
        </w:rPr>
        <w:t>специалитета</w:t>
      </w:r>
      <w:proofErr w:type="spellEnd"/>
    </w:p>
    <w:p w:rsidR="0057542D" w:rsidRPr="00B23033" w:rsidRDefault="00755A73" w:rsidP="00755A73">
      <w:pPr>
        <w:spacing w:before="0" w:after="0"/>
        <w:ind w:firstLine="0"/>
        <w:jc w:val="center"/>
        <w:rPr>
          <w:rStyle w:val="a5"/>
          <w:iCs w:val="0"/>
        </w:rPr>
      </w:pPr>
      <w:r>
        <w:rPr>
          <w:rStyle w:val="a5"/>
          <w:color w:val="000000"/>
          <w:sz w:val="23"/>
          <w:szCs w:val="23"/>
          <w:shd w:val="clear" w:color="auto" w:fill="FFFFFF"/>
        </w:rPr>
        <w:t>МГУ</w:t>
      </w:r>
      <w:r w:rsidR="0057542D" w:rsidRPr="006A1732">
        <w:rPr>
          <w:rStyle w:val="a5"/>
          <w:color w:val="000000"/>
          <w:sz w:val="23"/>
          <w:szCs w:val="23"/>
          <w:shd w:val="clear" w:color="auto" w:fill="FFFFFF"/>
        </w:rPr>
        <w:t xml:space="preserve"> имени </w:t>
      </w:r>
      <w:proofErr w:type="spellStart"/>
      <w:r w:rsidR="0057542D" w:rsidRPr="006A1732">
        <w:rPr>
          <w:rStyle w:val="a5"/>
          <w:color w:val="000000"/>
          <w:sz w:val="23"/>
          <w:szCs w:val="23"/>
          <w:shd w:val="clear" w:color="auto" w:fill="FFFFFF"/>
        </w:rPr>
        <w:t>М.В.Ломоносова</w:t>
      </w:r>
      <w:proofErr w:type="spellEnd"/>
      <w:r w:rsidR="00E91D3D">
        <w:rPr>
          <w:rStyle w:val="a5"/>
          <w:color w:val="000000"/>
          <w:sz w:val="23"/>
          <w:szCs w:val="23"/>
          <w:shd w:val="clear" w:color="auto" w:fill="FFFFFF"/>
        </w:rPr>
        <w:t>,</w:t>
      </w:r>
      <w:r>
        <w:rPr>
          <w:i/>
        </w:rPr>
        <w:t xml:space="preserve"> </w:t>
      </w:r>
      <w:r w:rsidR="0057542D">
        <w:rPr>
          <w:i/>
        </w:rPr>
        <w:t>х</w:t>
      </w:r>
      <w:r w:rsidR="0057542D" w:rsidRPr="002D0A38">
        <w:rPr>
          <w:i/>
        </w:rPr>
        <w:t>имический факультет, Москва, Россия</w:t>
      </w:r>
    </w:p>
    <w:p w:rsidR="0057542D" w:rsidRPr="00581804" w:rsidRDefault="0057542D" w:rsidP="00755A73">
      <w:pPr>
        <w:spacing w:before="0" w:after="0"/>
        <w:jc w:val="center"/>
        <w:rPr>
          <w:i/>
          <w:lang w:val="en-US"/>
        </w:rPr>
      </w:pPr>
      <w:r w:rsidRPr="002D0A38">
        <w:rPr>
          <w:i/>
          <w:lang w:val="en-US"/>
        </w:rPr>
        <w:t>E</w:t>
      </w:r>
      <w:r w:rsidRPr="00B23033">
        <w:rPr>
          <w:i/>
          <w:lang w:val="en-US"/>
        </w:rPr>
        <w:t>-</w:t>
      </w:r>
      <w:r w:rsidRPr="002D0A38">
        <w:rPr>
          <w:i/>
          <w:lang w:val="en-US"/>
        </w:rPr>
        <w:t>mail</w:t>
      </w:r>
      <w:r w:rsidRPr="00B23033">
        <w:rPr>
          <w:i/>
          <w:lang w:val="en-US"/>
        </w:rPr>
        <w:t xml:space="preserve">: </w:t>
      </w:r>
      <w:r w:rsidR="00F0266F" w:rsidRPr="00581804">
        <w:rPr>
          <w:i/>
          <w:u w:val="single"/>
          <w:lang w:val="en-US"/>
        </w:rPr>
        <w:t>petr.bai@chemistry.msu.ru</w:t>
      </w:r>
    </w:p>
    <w:p w:rsidR="00A604A8" w:rsidRDefault="00A604A8" w:rsidP="00D24D92">
      <w:pPr>
        <w:spacing w:before="0" w:after="0"/>
        <w:jc w:val="both"/>
      </w:pPr>
      <w:r>
        <w:t xml:space="preserve">Прямой количественный анализ зрелых </w:t>
      </w:r>
      <w:proofErr w:type="spellStart"/>
      <w:r>
        <w:t>микроРНК</w:t>
      </w:r>
      <w:proofErr w:type="spellEnd"/>
      <w:r>
        <w:t xml:space="preserve"> в образцах крови невозможен, так как эти </w:t>
      </w:r>
      <w:proofErr w:type="spellStart"/>
      <w:r>
        <w:t>биомолекулы</w:t>
      </w:r>
      <w:proofErr w:type="spellEnd"/>
      <w:r>
        <w:t xml:space="preserve"> находятся в виде комплексов с белками и липидами </w:t>
      </w:r>
      <w:r w:rsidRPr="00776004">
        <w:t>[</w:t>
      </w:r>
      <w:r w:rsidRPr="009B3747">
        <w:t>1</w:t>
      </w:r>
      <w:r w:rsidRPr="00776004">
        <w:t>]</w:t>
      </w:r>
      <w:r>
        <w:t xml:space="preserve">. Одновременно с этим присутствие в крови молекул ДНК может влиять на количественный анализ </w:t>
      </w:r>
      <w:proofErr w:type="spellStart"/>
      <w:r>
        <w:t>микроРНК</w:t>
      </w:r>
      <w:proofErr w:type="spellEnd"/>
      <w:r>
        <w:t xml:space="preserve">, который определяется с использованием реакции гибридизации. Поэтому необходим специфичный количественный метод выделения </w:t>
      </w:r>
      <w:proofErr w:type="spellStart"/>
      <w:r>
        <w:t>микроРНК</w:t>
      </w:r>
      <w:proofErr w:type="spellEnd"/>
      <w:r>
        <w:t>.</w:t>
      </w:r>
    </w:p>
    <w:p w:rsidR="00A604A8" w:rsidRDefault="00A604A8" w:rsidP="00A604A8">
      <w:pPr>
        <w:pStyle w:val="a0"/>
      </w:pPr>
      <w:r>
        <w:t xml:space="preserve">Разработанный нами метод выделения микроРНК-39 основан на аффинном связывании </w:t>
      </w:r>
      <w:proofErr w:type="spellStart"/>
      <w:r>
        <w:t>микроРНК</w:t>
      </w:r>
      <w:proofErr w:type="spellEnd"/>
      <w:r>
        <w:t xml:space="preserve"> с </w:t>
      </w:r>
      <w:proofErr w:type="spellStart"/>
      <w:r>
        <w:t>антисмысловым</w:t>
      </w:r>
      <w:proofErr w:type="spellEnd"/>
      <w:r>
        <w:t xml:space="preserve"> ДНК-зондом. Использование микроРНК-39 связано с тем, что данная </w:t>
      </w:r>
      <w:proofErr w:type="spellStart"/>
      <w:r>
        <w:t>нематодная</w:t>
      </w:r>
      <w:proofErr w:type="spellEnd"/>
      <w:r>
        <w:t xml:space="preserve"> </w:t>
      </w:r>
      <w:proofErr w:type="spellStart"/>
      <w:r>
        <w:t>микроРНК</w:t>
      </w:r>
      <w:proofErr w:type="spellEnd"/>
      <w:r>
        <w:t xml:space="preserve"> отсутствует в крови человека. </w:t>
      </w:r>
      <w:proofErr w:type="spellStart"/>
      <w:r>
        <w:t>Антисмысловы</w:t>
      </w:r>
      <w:r w:rsidR="0017149F" w:rsidRPr="00994296">
        <w:t>е</w:t>
      </w:r>
      <w:proofErr w:type="spellEnd"/>
      <w:r>
        <w:t xml:space="preserve"> зонды после их </w:t>
      </w:r>
      <w:proofErr w:type="spellStart"/>
      <w:r>
        <w:t>биотинилирования</w:t>
      </w:r>
      <w:proofErr w:type="spellEnd"/>
      <w:r>
        <w:t xml:space="preserve"> иммобилизовали на поверхности магнитных частиц с </w:t>
      </w:r>
      <w:proofErr w:type="spellStart"/>
      <w:r>
        <w:t>ковалентно</w:t>
      </w:r>
      <w:proofErr w:type="spellEnd"/>
      <w:r>
        <w:t xml:space="preserve"> пришитым </w:t>
      </w:r>
      <w:proofErr w:type="spellStart"/>
      <w:r>
        <w:t>стрептавидином</w:t>
      </w:r>
      <w:proofErr w:type="spellEnd"/>
      <w:r>
        <w:t xml:space="preserve">. Сорбцию микроРНК-39 из буферных растворов и </w:t>
      </w:r>
      <w:proofErr w:type="spellStart"/>
      <w:r>
        <w:t>спайк</w:t>
      </w:r>
      <w:proofErr w:type="spellEnd"/>
      <w:r>
        <w:t xml:space="preserve">-образцов, приготовленных добавлением </w:t>
      </w:r>
      <w:proofErr w:type="spellStart"/>
      <w:r>
        <w:t>микроРНК</w:t>
      </w:r>
      <w:proofErr w:type="spellEnd"/>
      <w:r>
        <w:t xml:space="preserve"> в предварительно полученный </w:t>
      </w:r>
      <w:r w:rsidR="003033CB">
        <w:t xml:space="preserve">раствор пула РНК крови человека </w:t>
      </w:r>
      <w:proofErr w:type="spellStart"/>
      <w:r w:rsidR="003033CB">
        <w:t>триазольным</w:t>
      </w:r>
      <w:proofErr w:type="spellEnd"/>
      <w:r w:rsidR="003033CB">
        <w:t xml:space="preserve"> методом</w:t>
      </w:r>
      <w:r>
        <w:t xml:space="preserve">, проводили при проведении отжига. Десорбцию микроРНК-39 после отмывки магнитных частиц проводили повышением температуры. Эффективность метода выделения </w:t>
      </w:r>
      <w:proofErr w:type="spellStart"/>
      <w:r>
        <w:t>микроРНК</w:t>
      </w:r>
      <w:proofErr w:type="spellEnd"/>
      <w:r>
        <w:t xml:space="preserve"> оценивали, определяя количество микроРНК-39 до и после ее выделения по калибровочной кривой хемилюминесцентным методом определения </w:t>
      </w:r>
      <w:proofErr w:type="spellStart"/>
      <w:r>
        <w:t>микроРНК</w:t>
      </w:r>
      <w:proofErr w:type="spellEnd"/>
      <w:r>
        <w:t xml:space="preserve">, основанного на применении </w:t>
      </w:r>
      <w:proofErr w:type="spellStart"/>
      <w:r>
        <w:t>амплификационной</w:t>
      </w:r>
      <w:proofErr w:type="spellEnd"/>
      <w:r>
        <w:t xml:space="preserve"> реакции с полимеризацией и замещением (АМПЗ), разработанным в</w:t>
      </w:r>
      <w:r w:rsidRPr="002B01A6">
        <w:t xml:space="preserve"> </w:t>
      </w:r>
      <w:r>
        <w:t xml:space="preserve">нашей лаборатории ранее </w:t>
      </w:r>
      <w:r w:rsidRPr="002B01A6">
        <w:t>[</w:t>
      </w:r>
      <w:r w:rsidR="00E14E56">
        <w:t>2</w:t>
      </w:r>
      <w:r w:rsidRPr="002B01A6">
        <w:t>]</w:t>
      </w:r>
      <w:r>
        <w:t>.</w:t>
      </w:r>
    </w:p>
    <w:p w:rsidR="00A604A8" w:rsidRDefault="00A604A8" w:rsidP="00A604A8">
      <w:pPr>
        <w:pStyle w:val="a0"/>
      </w:pPr>
      <w:r>
        <w:t xml:space="preserve">Длина </w:t>
      </w:r>
      <w:proofErr w:type="spellStart"/>
      <w:r>
        <w:t>комплементарности</w:t>
      </w:r>
      <w:proofErr w:type="spellEnd"/>
      <w:r>
        <w:t xml:space="preserve"> зонда задает баланс между селективностью и прочностью дуплекса и напрямую влияет на полноту последующей </w:t>
      </w:r>
      <w:proofErr w:type="spellStart"/>
      <w:r>
        <w:t>элюции</w:t>
      </w:r>
      <w:proofErr w:type="spellEnd"/>
      <w:r>
        <w:t>. В ходе работы было установлено</w:t>
      </w:r>
      <w:r w:rsidR="004E669A">
        <w:t>,</w:t>
      </w:r>
      <w:r>
        <w:t xml:space="preserve"> что оптимальной длиной зонда является 15 нуклеотидов. Подобраны оптимальные условия гибридизации микроРНК-39. Показано влияние твина</w:t>
      </w:r>
      <w:r w:rsidRPr="00B9679E">
        <w:t xml:space="preserve">-20 </w:t>
      </w:r>
      <w:r>
        <w:t xml:space="preserve">на подавление неспецифической сорбции </w:t>
      </w:r>
      <w:proofErr w:type="spellStart"/>
      <w:r>
        <w:t>микроРНК</w:t>
      </w:r>
      <w:proofErr w:type="spellEnd"/>
      <w:r>
        <w:t xml:space="preserve">.  Найдены оптимальные условия специфической сорбции микроРНК-39 на магнитные частицы. Оптимизированы условия </w:t>
      </w:r>
      <w:proofErr w:type="spellStart"/>
      <w:r>
        <w:t>элюции</w:t>
      </w:r>
      <w:proofErr w:type="spellEnd"/>
      <w:r>
        <w:t xml:space="preserve">, включая состав буфера, а также определена оптимальная температура </w:t>
      </w:r>
      <w:proofErr w:type="spellStart"/>
      <w:r>
        <w:t>элюции</w:t>
      </w:r>
      <w:proofErr w:type="spellEnd"/>
      <w:r>
        <w:t xml:space="preserve">, обеспечивающая максимальный выход </w:t>
      </w:r>
      <w:proofErr w:type="spellStart"/>
      <w:r>
        <w:t>микроРНК</w:t>
      </w:r>
      <w:proofErr w:type="spellEnd"/>
      <w:r>
        <w:t>.</w:t>
      </w:r>
    </w:p>
    <w:p w:rsidR="00A604A8" w:rsidRDefault="00A604A8" w:rsidP="00A604A8">
      <w:pPr>
        <w:pStyle w:val="a0"/>
      </w:pPr>
      <w:r>
        <w:t xml:space="preserve">Применимость разработанного метода выделения </w:t>
      </w:r>
      <w:proofErr w:type="spellStart"/>
      <w:r>
        <w:t>микроРНК</w:t>
      </w:r>
      <w:proofErr w:type="spellEnd"/>
      <w:r>
        <w:t xml:space="preserve"> продемонстрирована на образцах тотальной РНК, выделенной из плазмы крови набором </w:t>
      </w:r>
      <w:proofErr w:type="spellStart"/>
      <w:r>
        <w:t>Биолабмикс</w:t>
      </w:r>
      <w:proofErr w:type="spellEnd"/>
      <w:r>
        <w:t xml:space="preserve"> (Россия). Показано, что после аффинного выделения для образца очищенной </w:t>
      </w:r>
      <w:proofErr w:type="spellStart"/>
      <w:r>
        <w:t>микроРНК</w:t>
      </w:r>
      <w:proofErr w:type="spellEnd"/>
      <w:r>
        <w:t xml:space="preserve"> матричный эффект при проведении ее анализа отсутствовал, тогда как при прямом определении микроРНК-39 в тотальной РНК этот негативный эффект проявлялся. Полученный результат позволяет</w:t>
      </w:r>
      <w:r w:rsidR="004D119D">
        <w:t xml:space="preserve"> корректно</w:t>
      </w:r>
      <w:r>
        <w:t xml:space="preserve"> </w:t>
      </w:r>
      <w:r w:rsidR="004D119D">
        <w:t>проводить</w:t>
      </w:r>
      <w:r>
        <w:t xml:space="preserve"> </w:t>
      </w:r>
      <w:r w:rsidR="004D119D">
        <w:t>количественный анализ</w:t>
      </w:r>
      <w:r>
        <w:t xml:space="preserve"> </w:t>
      </w:r>
      <w:proofErr w:type="spellStart"/>
      <w:r>
        <w:t>микроРНК</w:t>
      </w:r>
      <w:proofErr w:type="spellEnd"/>
      <w:r>
        <w:t xml:space="preserve"> в крови. Другим позитивным результатом работы является высокое значение коэффициент</w:t>
      </w:r>
      <w:r w:rsidR="0098450C">
        <w:t>а</w:t>
      </w:r>
      <w:r>
        <w:t xml:space="preserve"> извлечения микроРНК-39, </w:t>
      </w:r>
      <w:r w:rsidR="0098450C">
        <w:t>равного</w:t>
      </w:r>
      <w:r>
        <w:t xml:space="preserve"> 80-100%.</w:t>
      </w:r>
    </w:p>
    <w:p w:rsidR="002A6622" w:rsidRPr="005C650F" w:rsidRDefault="00A604A8" w:rsidP="00A604A8">
      <w:pPr>
        <w:pStyle w:val="a0"/>
      </w:pPr>
      <w:r>
        <w:t xml:space="preserve">Таким образом, аффинный метод выделения </w:t>
      </w:r>
      <w:proofErr w:type="spellStart"/>
      <w:r>
        <w:t>микроРНК</w:t>
      </w:r>
      <w:proofErr w:type="spellEnd"/>
      <w:r>
        <w:t xml:space="preserve"> с применением иммобилизованных </w:t>
      </w:r>
      <w:proofErr w:type="spellStart"/>
      <w:r>
        <w:t>антисмысловых</w:t>
      </w:r>
      <w:proofErr w:type="spellEnd"/>
      <w:r>
        <w:t xml:space="preserve"> ДНК зондов на магнитных частицах открывает широкие перспективы по его использованию в медико-биологических исследованиях </w:t>
      </w:r>
      <w:proofErr w:type="spellStart"/>
      <w:r>
        <w:t>микроРНК</w:t>
      </w:r>
      <w:proofErr w:type="spellEnd"/>
      <w:r>
        <w:t>.</w:t>
      </w:r>
    </w:p>
    <w:p w:rsidR="0057542D" w:rsidRPr="00A142B6" w:rsidRDefault="0057542D" w:rsidP="00BE7C3A">
      <w:pPr>
        <w:shd w:val="clear" w:color="auto" w:fill="FFFFFF"/>
        <w:spacing w:before="0" w:after="0"/>
        <w:ind w:firstLine="0"/>
        <w:jc w:val="center"/>
        <w:rPr>
          <w:b/>
          <w:bCs/>
          <w:szCs w:val="24"/>
          <w:lang w:val="en-US" w:eastAsia="ru-RU"/>
        </w:rPr>
      </w:pPr>
      <w:r>
        <w:rPr>
          <w:b/>
          <w:bCs/>
          <w:color w:val="000000"/>
        </w:rPr>
        <w:t>Литература</w:t>
      </w:r>
    </w:p>
    <w:p w:rsidR="00712783" w:rsidRPr="00712783" w:rsidRDefault="00712783" w:rsidP="00C519BD">
      <w:pPr>
        <w:pStyle w:val="a8"/>
        <w:spacing w:before="0" w:beforeAutospacing="0" w:after="0" w:afterAutospacing="0"/>
        <w:jc w:val="both"/>
        <w:rPr>
          <w:lang w:val="en-US"/>
        </w:rPr>
      </w:pPr>
      <w:r>
        <w:rPr>
          <w:rFonts w:hAnsi="Symbol"/>
          <w:lang w:val="en-US"/>
        </w:rPr>
        <w:t xml:space="preserve">1. </w:t>
      </w:r>
      <w:proofErr w:type="spellStart"/>
      <w:r w:rsidRPr="00712783">
        <w:rPr>
          <w:lang w:val="en-US"/>
        </w:rPr>
        <w:t>Zinovkin</w:t>
      </w:r>
      <w:proofErr w:type="spellEnd"/>
      <w:r w:rsidRPr="00712783">
        <w:rPr>
          <w:lang w:val="en-US"/>
        </w:rPr>
        <w:t xml:space="preserve"> R.A., Sakharov I.Y. Challenges of using microRNAs as potential disease biomarkers. A review // </w:t>
      </w:r>
      <w:proofErr w:type="spellStart"/>
      <w:r w:rsidRPr="00712783">
        <w:rPr>
          <w:lang w:val="en-US"/>
        </w:rPr>
        <w:t>Microchem</w:t>
      </w:r>
      <w:proofErr w:type="spellEnd"/>
      <w:r w:rsidRPr="00712783">
        <w:rPr>
          <w:lang w:val="en-US"/>
        </w:rPr>
        <w:t>. J. 2024. Vol. 206. P. 111379.</w:t>
      </w:r>
    </w:p>
    <w:p w:rsidR="002C4AE4" w:rsidRPr="00C519BD" w:rsidRDefault="00712783" w:rsidP="00C519BD">
      <w:pPr>
        <w:pStyle w:val="a8"/>
        <w:spacing w:before="0" w:beforeAutospacing="0" w:after="0" w:afterAutospacing="0"/>
        <w:jc w:val="both"/>
      </w:pPr>
      <w:r w:rsidRPr="00712783">
        <w:rPr>
          <w:rFonts w:hAnsi="Symbol"/>
          <w:lang w:val="en-US"/>
        </w:rPr>
        <w:t>2.</w:t>
      </w:r>
      <w:bookmarkStart w:id="0" w:name="_GoBack"/>
      <w:bookmarkEnd w:id="0"/>
      <w:r w:rsidRPr="00712783">
        <w:rPr>
          <w:rFonts w:hAnsi="Symbol"/>
          <w:lang w:val="en-US"/>
        </w:rPr>
        <w:t xml:space="preserve"> </w:t>
      </w:r>
      <w:proofErr w:type="spellStart"/>
      <w:r w:rsidRPr="00712783">
        <w:rPr>
          <w:lang w:val="en-US"/>
        </w:rPr>
        <w:t>Solovjev</w:t>
      </w:r>
      <w:proofErr w:type="spellEnd"/>
      <w:r w:rsidRPr="00712783">
        <w:rPr>
          <w:lang w:val="en-US"/>
        </w:rPr>
        <w:t xml:space="preserve"> A.M. et al. Isothermal </w:t>
      </w:r>
      <w:proofErr w:type="spellStart"/>
      <w:r w:rsidRPr="00712783">
        <w:rPr>
          <w:lang w:val="en-US"/>
        </w:rPr>
        <w:t>chemiluminescent</w:t>
      </w:r>
      <w:proofErr w:type="spellEnd"/>
      <w:r w:rsidRPr="00712783">
        <w:rPr>
          <w:lang w:val="en-US"/>
        </w:rPr>
        <w:t xml:space="preserve"> assay based on circular stand-displacement polymerization reaction amplification for cel-miRNA-39-3p determination in cell extracts // Int. J. Biol. </w:t>
      </w:r>
      <w:proofErr w:type="spellStart"/>
      <w:r>
        <w:t>Macromol</w:t>
      </w:r>
      <w:proofErr w:type="spellEnd"/>
      <w:r>
        <w:t xml:space="preserve">. 2021. </w:t>
      </w:r>
      <w:proofErr w:type="spellStart"/>
      <w:r>
        <w:t>Vol</w:t>
      </w:r>
      <w:proofErr w:type="spellEnd"/>
      <w:r>
        <w:t>. 182. P. 987-992.</w:t>
      </w:r>
    </w:p>
    <w:sectPr w:rsidR="002C4AE4" w:rsidRPr="00C519BD" w:rsidSect="002134F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05"/>
    <w:rsid w:val="00001749"/>
    <w:rsid w:val="00015880"/>
    <w:rsid w:val="00062F5D"/>
    <w:rsid w:val="000C78B7"/>
    <w:rsid w:val="000D5262"/>
    <w:rsid w:val="00113BF7"/>
    <w:rsid w:val="0014488E"/>
    <w:rsid w:val="0017149F"/>
    <w:rsid w:val="001E00F3"/>
    <w:rsid w:val="002134F1"/>
    <w:rsid w:val="0026182B"/>
    <w:rsid w:val="002A6622"/>
    <w:rsid w:val="002B01A6"/>
    <w:rsid w:val="002C4AE4"/>
    <w:rsid w:val="003033CB"/>
    <w:rsid w:val="00305666"/>
    <w:rsid w:val="00331EC7"/>
    <w:rsid w:val="00376657"/>
    <w:rsid w:val="004174B4"/>
    <w:rsid w:val="004D119D"/>
    <w:rsid w:val="004E669A"/>
    <w:rsid w:val="004F1AA0"/>
    <w:rsid w:val="00546900"/>
    <w:rsid w:val="0056714C"/>
    <w:rsid w:val="0057542D"/>
    <w:rsid w:val="00576D02"/>
    <w:rsid w:val="00581804"/>
    <w:rsid w:val="00581D3B"/>
    <w:rsid w:val="005C73F2"/>
    <w:rsid w:val="0064557E"/>
    <w:rsid w:val="006B48BA"/>
    <w:rsid w:val="006D2E1F"/>
    <w:rsid w:val="006F02A2"/>
    <w:rsid w:val="00712783"/>
    <w:rsid w:val="00720646"/>
    <w:rsid w:val="00755A73"/>
    <w:rsid w:val="007631BE"/>
    <w:rsid w:val="00776004"/>
    <w:rsid w:val="008003A9"/>
    <w:rsid w:val="00816B14"/>
    <w:rsid w:val="00841281"/>
    <w:rsid w:val="008A23A3"/>
    <w:rsid w:val="008A5BB8"/>
    <w:rsid w:val="00971D5F"/>
    <w:rsid w:val="00976057"/>
    <w:rsid w:val="009776BA"/>
    <w:rsid w:val="0098450C"/>
    <w:rsid w:val="00994296"/>
    <w:rsid w:val="009B3747"/>
    <w:rsid w:val="009C4757"/>
    <w:rsid w:val="00A13B9C"/>
    <w:rsid w:val="00A142B6"/>
    <w:rsid w:val="00A145EF"/>
    <w:rsid w:val="00A46EE4"/>
    <w:rsid w:val="00A604A8"/>
    <w:rsid w:val="00AA25F4"/>
    <w:rsid w:val="00AB5A87"/>
    <w:rsid w:val="00AF16F3"/>
    <w:rsid w:val="00AF6B1C"/>
    <w:rsid w:val="00B10EC0"/>
    <w:rsid w:val="00B23033"/>
    <w:rsid w:val="00B26C59"/>
    <w:rsid w:val="00B9679E"/>
    <w:rsid w:val="00BC425B"/>
    <w:rsid w:val="00BC61A8"/>
    <w:rsid w:val="00BE7C3A"/>
    <w:rsid w:val="00BF16C0"/>
    <w:rsid w:val="00C105F0"/>
    <w:rsid w:val="00C26B55"/>
    <w:rsid w:val="00C364DB"/>
    <w:rsid w:val="00C519BD"/>
    <w:rsid w:val="00C849EC"/>
    <w:rsid w:val="00CA539F"/>
    <w:rsid w:val="00CB12B6"/>
    <w:rsid w:val="00CC49DA"/>
    <w:rsid w:val="00D24D92"/>
    <w:rsid w:val="00D72A83"/>
    <w:rsid w:val="00DC39DB"/>
    <w:rsid w:val="00DD1901"/>
    <w:rsid w:val="00E14E56"/>
    <w:rsid w:val="00E86674"/>
    <w:rsid w:val="00E91D3D"/>
    <w:rsid w:val="00EA5023"/>
    <w:rsid w:val="00EC7E05"/>
    <w:rsid w:val="00EE34AF"/>
    <w:rsid w:val="00F0266F"/>
    <w:rsid w:val="00F123FA"/>
    <w:rsid w:val="00F35A88"/>
    <w:rsid w:val="00F736F5"/>
    <w:rsid w:val="00F80A19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D786"/>
  <w15:chartTrackingRefBased/>
  <w15:docId w15:val="{8A11DB74-F0A6-4FDF-AE47-BADD9B1A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економика"/>
    <w:next w:val="a0"/>
    <w:qFormat/>
    <w:rsid w:val="0057542D"/>
    <w:pPr>
      <w:spacing w:before="240" w:after="240" w:line="240" w:lineRule="auto"/>
      <w:ind w:firstLine="397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Кекеномика"/>
    <w:basedOn w:val="a"/>
    <w:link w:val="a4"/>
    <w:autoRedefine/>
    <w:rsid w:val="009C4757"/>
    <w:pPr>
      <w:spacing w:before="0" w:after="0"/>
      <w:ind w:firstLine="426"/>
      <w:jc w:val="both"/>
    </w:pPr>
    <w:rPr>
      <w:color w:val="000000"/>
      <w:shd w:val="clear" w:color="auto" w:fill="FFFFFF"/>
    </w:rPr>
  </w:style>
  <w:style w:type="character" w:customStyle="1" w:styleId="a4">
    <w:name w:val="Кекеномика Знак"/>
    <w:link w:val="a0"/>
    <w:rsid w:val="009C4757"/>
    <w:rPr>
      <w:rFonts w:ascii="Times New Roman" w:eastAsia="Calibri" w:hAnsi="Times New Roman" w:cs="Times New Roman"/>
      <w:color w:val="000000"/>
      <w:sz w:val="24"/>
    </w:rPr>
  </w:style>
  <w:style w:type="character" w:styleId="a5">
    <w:name w:val="Emphasis"/>
    <w:uiPriority w:val="20"/>
    <w:qFormat/>
    <w:rsid w:val="0057542D"/>
    <w:rPr>
      <w:i/>
      <w:iCs/>
    </w:rPr>
  </w:style>
  <w:style w:type="character" w:styleId="a6">
    <w:name w:val="Hyperlink"/>
    <w:uiPriority w:val="99"/>
    <w:unhideWhenUsed/>
    <w:rsid w:val="0057542D"/>
    <w:rPr>
      <w:color w:val="0563C1"/>
      <w:u w:val="single"/>
    </w:rPr>
  </w:style>
  <w:style w:type="paragraph" w:styleId="a7">
    <w:name w:val="Bibliography"/>
    <w:basedOn w:val="a"/>
    <w:next w:val="a"/>
    <w:uiPriority w:val="37"/>
    <w:unhideWhenUsed/>
    <w:rsid w:val="0057542D"/>
    <w:pPr>
      <w:tabs>
        <w:tab w:val="left" w:pos="264"/>
      </w:tabs>
      <w:spacing w:after="0"/>
      <w:ind w:left="264" w:hanging="264"/>
    </w:pPr>
  </w:style>
  <w:style w:type="paragraph" w:styleId="a8">
    <w:name w:val="Normal (Web)"/>
    <w:basedOn w:val="a"/>
    <w:uiPriority w:val="99"/>
    <w:unhideWhenUsed/>
    <w:rsid w:val="00712783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80174-69EF-416A-AE2B-B81D5290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57</cp:revision>
  <dcterms:created xsi:type="dcterms:W3CDTF">2026-03-02T15:52:00Z</dcterms:created>
  <dcterms:modified xsi:type="dcterms:W3CDTF">2026-03-09T16:45:00Z</dcterms:modified>
</cp:coreProperties>
</file>