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B6764EA" w:rsidR="00130241" w:rsidRDefault="00E32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32422">
        <w:rPr>
          <w:b/>
          <w:color w:val="000000"/>
        </w:rPr>
        <w:t>Оптимизация условий измерения щелочной фосфатазы для иммуноферментного анализа с электрохимической детекцией</w:t>
      </w:r>
    </w:p>
    <w:p w14:paraId="00000002" w14:textId="2F7F6DA4" w:rsidR="00130241" w:rsidRDefault="00E32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Самушия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Я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Евтушенко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</w:p>
    <w:p w14:paraId="00000003" w14:textId="10DD7A0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32422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7" w14:textId="430D9167" w:rsidR="00130241" w:rsidRPr="000E334E" w:rsidRDefault="00EB1F49" w:rsidP="00E32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2C2FE7D" w:rsidR="00C216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32422">
        <w:rPr>
          <w:i/>
          <w:color w:val="000000"/>
          <w:lang w:val="en-US"/>
        </w:rPr>
        <w:t>E</w:t>
      </w:r>
      <w:r w:rsidR="003B76D6" w:rsidRPr="00E32422">
        <w:rPr>
          <w:i/>
          <w:color w:val="000000"/>
          <w:lang w:val="en-US"/>
        </w:rPr>
        <w:t>-</w:t>
      </w:r>
      <w:r w:rsidRPr="00E32422">
        <w:rPr>
          <w:i/>
          <w:color w:val="000000"/>
          <w:lang w:val="en-US"/>
        </w:rPr>
        <w:t xml:space="preserve">mail: </w:t>
      </w:r>
      <w:r w:rsidR="00E32422">
        <w:rPr>
          <w:i/>
          <w:color w:val="000000"/>
          <w:u w:val="single"/>
          <w:lang w:val="en-US"/>
        </w:rPr>
        <w:t>Alex</w:t>
      </w:r>
      <w:r w:rsidR="00E32422" w:rsidRPr="00E32422">
        <w:rPr>
          <w:i/>
          <w:color w:val="000000"/>
          <w:u w:val="single"/>
          <w:lang w:val="en-US"/>
        </w:rPr>
        <w:t>.</w:t>
      </w:r>
      <w:r w:rsidR="00E32422">
        <w:rPr>
          <w:i/>
          <w:color w:val="000000"/>
          <w:u w:val="single"/>
          <w:lang w:val="en-US"/>
        </w:rPr>
        <w:t>Samush</w:t>
      </w:r>
      <w:r w:rsidR="00E32422" w:rsidRPr="00E32422">
        <w:rPr>
          <w:i/>
          <w:color w:val="000000"/>
          <w:u w:val="single"/>
          <w:lang w:val="en-US"/>
        </w:rPr>
        <w:t>@</w:t>
      </w:r>
      <w:r w:rsidR="00E32422">
        <w:rPr>
          <w:i/>
          <w:color w:val="000000"/>
          <w:u w:val="single"/>
          <w:lang w:val="en-US"/>
        </w:rPr>
        <w:t>gmail</w:t>
      </w:r>
      <w:r w:rsidR="00E32422" w:rsidRPr="00E32422">
        <w:rPr>
          <w:i/>
          <w:color w:val="000000"/>
          <w:u w:val="single"/>
          <w:lang w:val="en-US"/>
        </w:rPr>
        <w:t>.</w:t>
      </w:r>
      <w:r w:rsidR="00E32422">
        <w:rPr>
          <w:i/>
          <w:color w:val="000000"/>
          <w:u w:val="single"/>
          <w:lang w:val="en-US"/>
        </w:rPr>
        <w:t>com</w:t>
      </w:r>
      <w:r w:rsidRPr="00E32422">
        <w:rPr>
          <w:i/>
          <w:color w:val="000000"/>
          <w:lang w:val="en-US"/>
        </w:rPr>
        <w:t xml:space="preserve"> </w:t>
      </w:r>
      <w:r w:rsidR="00E32422">
        <w:rPr>
          <w:i/>
          <w:color w:val="000000"/>
          <w:lang w:val="en-US"/>
        </w:rPr>
        <w:br/>
      </w:r>
    </w:p>
    <w:p w14:paraId="111E6234" w14:textId="584C7A86" w:rsidR="0046482F" w:rsidRDefault="0046482F" w:rsidP="0046482F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Щелочные фосфатазы (ЩФ) из различных источников широко используются в качестве метки в иммуноферментном анализе (ИФА). </w:t>
      </w:r>
      <w:r w:rsidRPr="001471AD">
        <w:t xml:space="preserve">Одним из </w:t>
      </w:r>
      <w:r>
        <w:t xml:space="preserve">способов измерения </w:t>
      </w:r>
      <w:r w:rsidRPr="001471AD">
        <w:t>результатов ИФА является электрохим</w:t>
      </w:r>
      <w:r>
        <w:t>ическая детекция</w:t>
      </w:r>
      <w:r w:rsidRPr="001471AD">
        <w:t>, позволяющ</w:t>
      </w:r>
      <w:r>
        <w:t>ая</w:t>
      </w:r>
      <w:r w:rsidRPr="001471AD">
        <w:t xml:space="preserve"> конструировать миниатюр</w:t>
      </w:r>
      <w:r>
        <w:t>ные</w:t>
      </w:r>
      <w:r w:rsidRPr="001471AD">
        <w:t xml:space="preserve"> устр</w:t>
      </w:r>
      <w:r>
        <w:t>ойства</w:t>
      </w:r>
      <w:r w:rsidRPr="001471AD">
        <w:t xml:space="preserve"> для целей </w:t>
      </w:r>
      <w:r>
        <w:t xml:space="preserve">диагностики по месту лечения. В частности, один из подходов для измерения ЩФ при помощи компактных амперометрических датчиков основан на ферментативном гидролизе 1-нафтилфосфата до электрохимически активного 1-нафтола, регистрируемого при потенциале </w:t>
      </w:r>
      <w:r>
        <w:rPr>
          <w:iCs/>
          <w:color w:val="000000"/>
        </w:rPr>
        <w:t>+260 мВ относительно хлорсеребряного электрода.</w:t>
      </w:r>
    </w:p>
    <w:p w14:paraId="55AA0D93" w14:textId="00A58D30" w:rsidR="0046482F" w:rsidRPr="001471AD" w:rsidRDefault="0046482F" w:rsidP="00107964">
      <w:pPr>
        <w:ind w:firstLine="397"/>
        <w:jc w:val="both"/>
      </w:pPr>
      <w:r>
        <w:rPr>
          <w:color w:val="000000"/>
        </w:rPr>
        <w:t>При конструировании биоаналитических систем среди доступных альтернатив особый интерес представляет т</w:t>
      </w:r>
      <w:r>
        <w:rPr>
          <w:iCs/>
          <w:color w:val="000000"/>
        </w:rPr>
        <w:t xml:space="preserve">ермостабильная щелочная фосфатаза </w:t>
      </w:r>
      <w:r>
        <w:t xml:space="preserve">производства </w:t>
      </w:r>
      <w:proofErr w:type="spellStart"/>
      <w:r>
        <w:t>Toyobo</w:t>
      </w:r>
      <w:proofErr w:type="spellEnd"/>
      <w:r>
        <w:t xml:space="preserve"> </w:t>
      </w:r>
      <w:r>
        <w:rPr>
          <w:lang w:val="en-US"/>
        </w:rPr>
        <w:t>E</w:t>
      </w:r>
      <w:proofErr w:type="spellStart"/>
      <w:r>
        <w:t>nzymes</w:t>
      </w:r>
      <w:proofErr w:type="spellEnd"/>
      <w:r w:rsidRPr="00335BE7">
        <w:t xml:space="preserve"> </w:t>
      </w:r>
      <w:r w:rsidRPr="00294EEF">
        <w:t>(</w:t>
      </w:r>
      <w:r>
        <w:t>Япония</w:t>
      </w:r>
      <w:r w:rsidRPr="00294EEF">
        <w:t>)</w:t>
      </w:r>
      <w:r>
        <w:t xml:space="preserve"> благодаря ее высокой стабильности и высокой каталитической константе. </w:t>
      </w:r>
      <w:r>
        <w:rPr>
          <w:iCs/>
          <w:color w:val="000000"/>
        </w:rPr>
        <w:t>Однако рекомендации производителя ограничиваются оптимальными условиями для колориметрической детекции при использовании субстрата п-нитроф</w:t>
      </w:r>
      <w:r w:rsidR="006F093E">
        <w:rPr>
          <w:iCs/>
          <w:color w:val="000000"/>
        </w:rPr>
        <w:t>е</w:t>
      </w:r>
      <w:r>
        <w:rPr>
          <w:iCs/>
          <w:color w:val="000000"/>
        </w:rPr>
        <w:t xml:space="preserve">нилфосфата: 1 М диэтаноламиновый буфер (ДЭА) при </w:t>
      </w:r>
      <w:r>
        <w:rPr>
          <w:iCs/>
          <w:color w:val="000000"/>
          <w:lang w:val="en-US"/>
        </w:rPr>
        <w:t>pH</w:t>
      </w:r>
      <w:r w:rsidRPr="00222A45">
        <w:rPr>
          <w:iCs/>
          <w:color w:val="000000"/>
        </w:rPr>
        <w:t xml:space="preserve"> = 9</w:t>
      </w:r>
      <w:r>
        <w:rPr>
          <w:iCs/>
          <w:color w:val="000000"/>
        </w:rPr>
        <w:t>,</w:t>
      </w:r>
      <w:r w:rsidRPr="00222A45">
        <w:rPr>
          <w:iCs/>
          <w:color w:val="000000"/>
        </w:rPr>
        <w:t>6</w:t>
      </w:r>
      <w:r w:rsidRPr="00492F3F">
        <w:rPr>
          <w:iCs/>
          <w:color w:val="000000"/>
        </w:rPr>
        <w:t>.</w:t>
      </w:r>
      <w:r>
        <w:rPr>
          <w:iCs/>
          <w:color w:val="000000"/>
        </w:rPr>
        <w:t xml:space="preserve"> Данный буфер несовместим с электрохимическим</w:t>
      </w:r>
      <w:r w:rsidR="00155049">
        <w:rPr>
          <w:iCs/>
          <w:color w:val="000000"/>
        </w:rPr>
        <w:t>и</w:t>
      </w:r>
      <w:r>
        <w:rPr>
          <w:iCs/>
          <w:color w:val="000000"/>
        </w:rPr>
        <w:t xml:space="preserve"> </w:t>
      </w:r>
      <w:r w:rsidR="002E666C">
        <w:rPr>
          <w:iCs/>
          <w:color w:val="000000"/>
        </w:rPr>
        <w:t>измерениями</w:t>
      </w:r>
      <w:r>
        <w:rPr>
          <w:iCs/>
          <w:color w:val="000000"/>
        </w:rPr>
        <w:t xml:space="preserve"> ввиду деградации хлорсеребряного электрода сравнения</w:t>
      </w:r>
      <w:r w:rsidR="003E5FA8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 w:rsidR="00EA63EC">
        <w:rPr>
          <w:iCs/>
          <w:color w:val="000000"/>
        </w:rPr>
        <w:t>С</w:t>
      </w:r>
      <w:r>
        <w:rPr>
          <w:iCs/>
          <w:color w:val="000000"/>
        </w:rPr>
        <w:t>нижени</w:t>
      </w:r>
      <w:r w:rsidR="002E666C">
        <w:rPr>
          <w:iCs/>
          <w:color w:val="000000"/>
        </w:rPr>
        <w:t>е</w:t>
      </w:r>
      <w:r>
        <w:rPr>
          <w:iCs/>
          <w:color w:val="000000"/>
        </w:rPr>
        <w:t xml:space="preserve"> молярности буфера до 50 мМ</w:t>
      </w:r>
      <w:r w:rsidR="00EA63EC">
        <w:rPr>
          <w:iCs/>
          <w:color w:val="000000"/>
        </w:rPr>
        <w:t xml:space="preserve"> лишь частично решает проблему ввиду плохой стабильности буфера на основе ДЭА при хранении. </w:t>
      </w:r>
      <w:r w:rsidR="002E666C">
        <w:rPr>
          <w:iCs/>
          <w:color w:val="000000"/>
        </w:rPr>
        <w:t xml:space="preserve">Таким образом, поиск </w:t>
      </w:r>
      <w:r w:rsidR="006F093E">
        <w:rPr>
          <w:iCs/>
          <w:color w:val="000000"/>
        </w:rPr>
        <w:t xml:space="preserve">условий проведения ферментативной и электрохимической реакций </w:t>
      </w:r>
      <w:r w:rsidR="002E666C">
        <w:rPr>
          <w:iCs/>
          <w:color w:val="000000"/>
        </w:rPr>
        <w:t xml:space="preserve">является актуальным. </w:t>
      </w:r>
    </w:p>
    <w:p w14:paraId="1AF5817E" w14:textId="26C48A11" w:rsidR="00FC724A" w:rsidRPr="00E9647A" w:rsidRDefault="006F093E" w:rsidP="00920978">
      <w:pPr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На первом этапе </w:t>
      </w:r>
      <w:r w:rsidR="00920978" w:rsidRPr="00920978">
        <w:rPr>
          <w:iCs/>
          <w:color w:val="000000"/>
        </w:rPr>
        <w:t xml:space="preserve">был </w:t>
      </w:r>
      <w:r>
        <w:rPr>
          <w:iCs/>
          <w:color w:val="000000"/>
        </w:rPr>
        <w:t xml:space="preserve">произведен скриниг </w:t>
      </w:r>
      <w:r w:rsidR="00920978" w:rsidRPr="00920978">
        <w:rPr>
          <w:iCs/>
          <w:color w:val="000000"/>
        </w:rPr>
        <w:t>буферн</w:t>
      </w:r>
      <w:r>
        <w:rPr>
          <w:iCs/>
          <w:color w:val="000000"/>
        </w:rPr>
        <w:t>ых</w:t>
      </w:r>
      <w:r w:rsidR="00920978" w:rsidRPr="00920978">
        <w:rPr>
          <w:iCs/>
          <w:color w:val="000000"/>
        </w:rPr>
        <w:t xml:space="preserve"> систем</w:t>
      </w:r>
      <w:r>
        <w:rPr>
          <w:iCs/>
          <w:color w:val="000000"/>
        </w:rPr>
        <w:t xml:space="preserve"> при </w:t>
      </w:r>
      <w:r>
        <w:rPr>
          <w:iCs/>
          <w:color w:val="000000"/>
          <w:lang w:val="en-US"/>
        </w:rPr>
        <w:t>pH</w:t>
      </w:r>
      <w:r w:rsidRPr="006F093E">
        <w:rPr>
          <w:iCs/>
          <w:color w:val="000000"/>
        </w:rPr>
        <w:t xml:space="preserve"> = 9,6</w:t>
      </w:r>
      <w:r w:rsidR="00C02B83">
        <w:rPr>
          <w:iCs/>
          <w:color w:val="000000"/>
        </w:rPr>
        <w:t xml:space="preserve"> и 25</w:t>
      </w:r>
      <w:r w:rsidR="00C02B83">
        <w:rPr>
          <w:iCs/>
          <w:color w:val="000000"/>
        </w:rPr>
        <w:sym w:font="Symbol" w:char="F0B0"/>
      </w:r>
      <w:r w:rsidR="00C02B83">
        <w:rPr>
          <w:iCs/>
          <w:color w:val="000000"/>
        </w:rPr>
        <w:t>С</w:t>
      </w:r>
      <w:r w:rsidR="002C2692">
        <w:rPr>
          <w:iCs/>
          <w:color w:val="000000"/>
        </w:rPr>
        <w:t>.</w:t>
      </w:r>
      <w:r w:rsidR="00C67053">
        <w:rPr>
          <w:iCs/>
          <w:color w:val="000000"/>
        </w:rPr>
        <w:t xml:space="preserve"> </w:t>
      </w:r>
      <w:r w:rsidR="002C2692">
        <w:rPr>
          <w:iCs/>
          <w:color w:val="000000"/>
        </w:rPr>
        <w:t xml:space="preserve">Использовались 50 мМ </w:t>
      </w:r>
      <w:r>
        <w:rPr>
          <w:iCs/>
          <w:color w:val="000000"/>
        </w:rPr>
        <w:t>к</w:t>
      </w:r>
      <w:r w:rsidR="00920978" w:rsidRPr="00920978">
        <w:rPr>
          <w:iCs/>
          <w:color w:val="000000"/>
        </w:rPr>
        <w:t>арбонатный, боратный и глициновый бу</w:t>
      </w:r>
      <w:r w:rsidR="00920978">
        <w:rPr>
          <w:iCs/>
          <w:color w:val="000000"/>
        </w:rPr>
        <w:t>феры</w:t>
      </w:r>
      <w:r w:rsidR="002C2692">
        <w:rPr>
          <w:iCs/>
          <w:color w:val="000000"/>
        </w:rPr>
        <w:t>, а также ДЭА в качестве сравнения</w:t>
      </w:r>
      <w:r w:rsidR="00920978">
        <w:rPr>
          <w:iCs/>
          <w:color w:val="000000"/>
        </w:rPr>
        <w:t xml:space="preserve">. </w:t>
      </w:r>
      <w:r>
        <w:rPr>
          <w:iCs/>
          <w:color w:val="000000"/>
        </w:rPr>
        <w:t>Для</w:t>
      </w:r>
      <w:r w:rsidR="00920978" w:rsidRPr="00920978">
        <w:rPr>
          <w:iCs/>
          <w:color w:val="000000"/>
        </w:rPr>
        <w:t xml:space="preserve"> глицинового буфера </w:t>
      </w:r>
      <w:r>
        <w:rPr>
          <w:iCs/>
          <w:color w:val="000000"/>
        </w:rPr>
        <w:t>была показана нестабильность фермента (снижение активности</w:t>
      </w:r>
      <w:r w:rsidR="00920978" w:rsidRPr="00920978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на </w:t>
      </w:r>
      <w:r w:rsidR="00920978" w:rsidRPr="00920978">
        <w:rPr>
          <w:iCs/>
          <w:color w:val="000000"/>
        </w:rPr>
        <w:t>45%</w:t>
      </w:r>
      <w:r>
        <w:rPr>
          <w:iCs/>
          <w:color w:val="000000"/>
        </w:rPr>
        <w:t xml:space="preserve"> </w:t>
      </w:r>
      <w:r w:rsidR="002C2692">
        <w:rPr>
          <w:iCs/>
          <w:color w:val="000000"/>
        </w:rPr>
        <w:t>в течение часа</w:t>
      </w:r>
      <w:r>
        <w:rPr>
          <w:iCs/>
          <w:color w:val="000000"/>
        </w:rPr>
        <w:t>)</w:t>
      </w:r>
      <w:r w:rsidR="00920978" w:rsidRPr="00920978">
        <w:rPr>
          <w:iCs/>
          <w:color w:val="000000"/>
        </w:rPr>
        <w:t xml:space="preserve">, в связи с чем дальнейшие исследования с данной системой </w:t>
      </w:r>
      <w:r>
        <w:rPr>
          <w:iCs/>
          <w:color w:val="000000"/>
        </w:rPr>
        <w:t>не производились</w:t>
      </w:r>
      <w:r w:rsidR="00920978" w:rsidRPr="00920978">
        <w:rPr>
          <w:iCs/>
          <w:color w:val="000000"/>
        </w:rPr>
        <w:t>.</w:t>
      </w:r>
      <w:r w:rsidR="00920978">
        <w:rPr>
          <w:iCs/>
          <w:color w:val="000000"/>
        </w:rPr>
        <w:t xml:space="preserve"> </w:t>
      </w:r>
      <w:r w:rsidR="002C2692">
        <w:rPr>
          <w:iCs/>
          <w:color w:val="000000"/>
        </w:rPr>
        <w:t>Во</w:t>
      </w:r>
      <w:r w:rsidR="002E77D7">
        <w:rPr>
          <w:iCs/>
          <w:color w:val="000000"/>
        </w:rPr>
        <w:t xml:space="preserve"> </w:t>
      </w:r>
      <w:r w:rsidR="00107964">
        <w:rPr>
          <w:iCs/>
          <w:color w:val="000000"/>
        </w:rPr>
        <w:t>всех</w:t>
      </w:r>
      <w:r w:rsidR="00920978">
        <w:rPr>
          <w:iCs/>
          <w:color w:val="000000"/>
        </w:rPr>
        <w:t xml:space="preserve"> остальных</w:t>
      </w:r>
      <w:r w:rsidR="002E77D7">
        <w:rPr>
          <w:iCs/>
          <w:color w:val="000000"/>
        </w:rPr>
        <w:t xml:space="preserve"> </w:t>
      </w:r>
      <w:r w:rsidR="002E77D7">
        <w:rPr>
          <w:iCs/>
          <w:color w:val="000000"/>
        </w:rPr>
        <w:t>буферн</w:t>
      </w:r>
      <w:r w:rsidR="002E77D7">
        <w:rPr>
          <w:iCs/>
          <w:color w:val="000000"/>
        </w:rPr>
        <w:t>ых</w:t>
      </w:r>
      <w:r w:rsidR="002E77D7">
        <w:rPr>
          <w:iCs/>
          <w:color w:val="000000"/>
        </w:rPr>
        <w:t xml:space="preserve"> систем</w:t>
      </w:r>
      <w:r w:rsidR="002C2692">
        <w:rPr>
          <w:iCs/>
          <w:color w:val="000000"/>
        </w:rPr>
        <w:t>ах ЩФ была стабильна;</w:t>
      </w:r>
      <w:r w:rsidR="002E77D7">
        <w:rPr>
          <w:iCs/>
          <w:color w:val="000000"/>
        </w:rPr>
        <w:t xml:space="preserve"> зависимость </w:t>
      </w:r>
      <w:r w:rsidR="002E77D7">
        <w:rPr>
          <w:iCs/>
          <w:color w:val="000000"/>
          <w:lang w:val="en-US"/>
        </w:rPr>
        <w:t>v</w:t>
      </w:r>
      <w:r w:rsidR="002E77D7" w:rsidRPr="005F216E">
        <w:rPr>
          <w:iCs/>
          <w:color w:val="000000"/>
          <w:vertAlign w:val="subscript"/>
        </w:rPr>
        <w:t>0</w:t>
      </w:r>
      <w:r w:rsidR="002E77D7" w:rsidRPr="005F216E">
        <w:rPr>
          <w:iCs/>
          <w:color w:val="000000"/>
        </w:rPr>
        <w:t xml:space="preserve"> </w:t>
      </w:r>
      <w:r w:rsidR="002E77D7">
        <w:rPr>
          <w:iCs/>
          <w:color w:val="000000"/>
        </w:rPr>
        <w:t xml:space="preserve">от </w:t>
      </w:r>
      <w:r w:rsidR="002E77D7" w:rsidRPr="005F216E">
        <w:rPr>
          <w:iCs/>
          <w:color w:val="000000"/>
        </w:rPr>
        <w:t>[</w:t>
      </w:r>
      <w:r w:rsidR="002E77D7">
        <w:rPr>
          <w:iCs/>
          <w:color w:val="000000"/>
          <w:lang w:val="en-US"/>
        </w:rPr>
        <w:t>S</w:t>
      </w:r>
      <w:r w:rsidR="002E77D7" w:rsidRPr="005F216E">
        <w:rPr>
          <w:iCs/>
          <w:color w:val="000000"/>
        </w:rPr>
        <w:t>]</w:t>
      </w:r>
      <w:r w:rsidR="002E77D7" w:rsidRPr="005F216E">
        <w:rPr>
          <w:iCs/>
          <w:color w:val="000000"/>
          <w:vertAlign w:val="subscript"/>
        </w:rPr>
        <w:t xml:space="preserve">0 </w:t>
      </w:r>
      <w:r w:rsidR="002E77D7">
        <w:rPr>
          <w:iCs/>
          <w:color w:val="000000"/>
        </w:rPr>
        <w:t>подчиня</w:t>
      </w:r>
      <w:r>
        <w:rPr>
          <w:iCs/>
          <w:color w:val="000000"/>
        </w:rPr>
        <w:t>лась</w:t>
      </w:r>
      <w:r w:rsidR="002E77D7">
        <w:rPr>
          <w:iCs/>
          <w:color w:val="000000"/>
        </w:rPr>
        <w:t xml:space="preserve"> уравнению Михаэлиса-Ментен</w:t>
      </w:r>
      <w:r w:rsidR="002E77D7">
        <w:rPr>
          <w:iCs/>
          <w:color w:val="000000"/>
        </w:rPr>
        <w:t xml:space="preserve">. </w:t>
      </w:r>
      <w:r w:rsidR="00107964">
        <w:rPr>
          <w:iCs/>
          <w:color w:val="000000"/>
        </w:rPr>
        <w:t>При концентрации конъюгата 0</w:t>
      </w:r>
      <w:r>
        <w:rPr>
          <w:iCs/>
          <w:color w:val="000000"/>
        </w:rPr>
        <w:t>,</w:t>
      </w:r>
      <w:r w:rsidR="00107964">
        <w:rPr>
          <w:iCs/>
          <w:color w:val="000000"/>
        </w:rPr>
        <w:t xml:space="preserve">53 </w:t>
      </w:r>
      <w:proofErr w:type="spellStart"/>
      <w:r w:rsidR="00107964">
        <w:rPr>
          <w:iCs/>
          <w:color w:val="000000"/>
        </w:rPr>
        <w:t>нМ</w:t>
      </w:r>
      <w:proofErr w:type="spellEnd"/>
      <w:r w:rsidR="00107964">
        <w:rPr>
          <w:iCs/>
          <w:color w:val="000000"/>
        </w:rPr>
        <w:t xml:space="preserve"> б</w:t>
      </w:r>
      <w:r w:rsidR="002E77D7">
        <w:rPr>
          <w:iCs/>
          <w:color w:val="000000"/>
        </w:rPr>
        <w:t xml:space="preserve">ыли </w:t>
      </w:r>
      <w:r w:rsidR="00FC724A">
        <w:rPr>
          <w:iCs/>
          <w:color w:val="000000"/>
        </w:rPr>
        <w:t>получены</w:t>
      </w:r>
      <w:r w:rsidR="002E77D7">
        <w:rPr>
          <w:iCs/>
          <w:color w:val="000000"/>
        </w:rPr>
        <w:t xml:space="preserve"> </w:t>
      </w:r>
      <w:r w:rsidR="002E77D7">
        <w:rPr>
          <w:iCs/>
          <w:color w:val="000000"/>
        </w:rPr>
        <w:t xml:space="preserve">следующие </w:t>
      </w:r>
      <w:r w:rsidR="002E77D7">
        <w:rPr>
          <w:iCs/>
          <w:color w:val="000000"/>
        </w:rPr>
        <w:t>кинетические параметры</w:t>
      </w:r>
      <w:r w:rsidR="00920978">
        <w:rPr>
          <w:iCs/>
          <w:color w:val="000000"/>
        </w:rPr>
        <w:t>:</w:t>
      </w:r>
      <w:r w:rsidR="002E77D7">
        <w:rPr>
          <w:iCs/>
          <w:color w:val="000000"/>
        </w:rPr>
        <w:t xml:space="preserve"> </w:t>
      </w:r>
      <w:r w:rsidR="00920978">
        <w:rPr>
          <w:iCs/>
          <w:color w:val="000000"/>
          <w:lang w:val="en-US"/>
        </w:rPr>
        <w:t>V</w:t>
      </w:r>
      <w:r w:rsidR="00920978" w:rsidRPr="00DA439D">
        <w:rPr>
          <w:iCs/>
          <w:color w:val="000000"/>
          <w:vertAlign w:val="subscript"/>
          <w:lang w:val="en-US"/>
        </w:rPr>
        <w:t>max</w:t>
      </w:r>
      <w:r w:rsidR="00920978" w:rsidRPr="00EB703C">
        <w:rPr>
          <w:iCs/>
          <w:color w:val="000000"/>
        </w:rPr>
        <w:t xml:space="preserve"> =</w:t>
      </w:r>
      <w:r w:rsidR="00920978">
        <w:rPr>
          <w:iCs/>
          <w:color w:val="000000"/>
        </w:rPr>
        <w:t xml:space="preserve"> </w:t>
      </w:r>
      <w:r w:rsidR="00920978" w:rsidRPr="00257803">
        <w:rPr>
          <w:iCs/>
          <w:color w:val="000000"/>
        </w:rPr>
        <w:t>0</w:t>
      </w:r>
      <w:r>
        <w:rPr>
          <w:iCs/>
          <w:color w:val="000000"/>
        </w:rPr>
        <w:t>,</w:t>
      </w:r>
      <w:r w:rsidR="00920978">
        <w:rPr>
          <w:iCs/>
          <w:color w:val="000000"/>
        </w:rPr>
        <w:t>43</w:t>
      </w:r>
      <w:r w:rsidR="00920978" w:rsidRPr="00A44BE3">
        <w:rPr>
          <w:iCs/>
          <w:color w:val="000000"/>
        </w:rPr>
        <w:t xml:space="preserve"> </w:t>
      </w:r>
      <w:r w:rsidR="00920978">
        <w:rPr>
          <w:iCs/>
          <w:color w:val="000000"/>
        </w:rPr>
        <w:sym w:font="Symbol" w:char="F0B1"/>
      </w:r>
      <w:r w:rsidR="00920978" w:rsidRPr="00A44BE3">
        <w:rPr>
          <w:iCs/>
          <w:color w:val="000000"/>
        </w:rPr>
        <w:t xml:space="preserve"> 0</w:t>
      </w:r>
      <w:r>
        <w:rPr>
          <w:iCs/>
          <w:color w:val="000000"/>
        </w:rPr>
        <w:t>,</w:t>
      </w:r>
      <w:r w:rsidR="00920978" w:rsidRPr="00A44BE3">
        <w:rPr>
          <w:iCs/>
          <w:color w:val="000000"/>
        </w:rPr>
        <w:t>0</w:t>
      </w:r>
      <w:r w:rsidR="00920978" w:rsidRPr="00257803">
        <w:rPr>
          <w:iCs/>
          <w:color w:val="000000"/>
        </w:rPr>
        <w:t>1</w:t>
      </w:r>
      <w:r w:rsidR="00920978">
        <w:rPr>
          <w:iCs/>
          <w:color w:val="000000"/>
        </w:rPr>
        <w:t xml:space="preserve">; </w:t>
      </w:r>
      <w:r w:rsidR="00920978" w:rsidRPr="00257803">
        <w:rPr>
          <w:iCs/>
          <w:color w:val="000000"/>
        </w:rPr>
        <w:t>0</w:t>
      </w:r>
      <w:r>
        <w:rPr>
          <w:iCs/>
          <w:color w:val="000000"/>
        </w:rPr>
        <w:t>,</w:t>
      </w:r>
      <w:r w:rsidR="00920978">
        <w:rPr>
          <w:iCs/>
          <w:color w:val="000000"/>
        </w:rPr>
        <w:t>36</w:t>
      </w:r>
      <w:r w:rsidR="00920978" w:rsidRPr="00A44BE3">
        <w:rPr>
          <w:iCs/>
          <w:color w:val="000000"/>
        </w:rPr>
        <w:t xml:space="preserve"> </w:t>
      </w:r>
      <w:r w:rsidR="00920978">
        <w:rPr>
          <w:iCs/>
          <w:color w:val="000000"/>
        </w:rPr>
        <w:sym w:font="Symbol" w:char="F0B1"/>
      </w:r>
      <w:r w:rsidR="00920978" w:rsidRPr="00A44BE3">
        <w:rPr>
          <w:iCs/>
          <w:color w:val="000000"/>
        </w:rPr>
        <w:t xml:space="preserve"> 0</w:t>
      </w:r>
      <w:r>
        <w:rPr>
          <w:iCs/>
          <w:color w:val="000000"/>
        </w:rPr>
        <w:t>,</w:t>
      </w:r>
      <w:r w:rsidR="00920978" w:rsidRPr="00A44BE3">
        <w:rPr>
          <w:iCs/>
          <w:color w:val="000000"/>
        </w:rPr>
        <w:t>0</w:t>
      </w:r>
      <w:r w:rsidR="00920978">
        <w:rPr>
          <w:iCs/>
          <w:color w:val="000000"/>
        </w:rPr>
        <w:t>1</w:t>
      </w:r>
      <w:r w:rsidR="00920978">
        <w:rPr>
          <w:iCs/>
          <w:color w:val="000000"/>
        </w:rPr>
        <w:t>;</w:t>
      </w:r>
      <w:r w:rsidR="00920978">
        <w:rPr>
          <w:iCs/>
          <w:color w:val="000000"/>
        </w:rPr>
        <w:t xml:space="preserve"> </w:t>
      </w:r>
      <w:r w:rsidR="00920978" w:rsidRPr="00257803">
        <w:rPr>
          <w:iCs/>
          <w:color w:val="000000"/>
        </w:rPr>
        <w:t>0</w:t>
      </w:r>
      <w:r>
        <w:rPr>
          <w:iCs/>
          <w:color w:val="000000"/>
        </w:rPr>
        <w:t>,</w:t>
      </w:r>
      <w:r w:rsidR="00920978" w:rsidRPr="00257803">
        <w:rPr>
          <w:iCs/>
          <w:color w:val="000000"/>
        </w:rPr>
        <w:t>27</w:t>
      </w:r>
      <w:r w:rsidR="00920978" w:rsidRPr="00A44BE3">
        <w:rPr>
          <w:iCs/>
          <w:color w:val="000000"/>
        </w:rPr>
        <w:t xml:space="preserve"> </w:t>
      </w:r>
      <w:r w:rsidR="00920978">
        <w:rPr>
          <w:iCs/>
          <w:color w:val="000000"/>
        </w:rPr>
        <w:sym w:font="Symbol" w:char="F0B1"/>
      </w:r>
      <w:r w:rsidR="00920978" w:rsidRPr="00A44BE3">
        <w:rPr>
          <w:iCs/>
          <w:color w:val="000000"/>
        </w:rPr>
        <w:t xml:space="preserve"> 0</w:t>
      </w:r>
      <w:r>
        <w:rPr>
          <w:iCs/>
          <w:color w:val="000000"/>
        </w:rPr>
        <w:t>,</w:t>
      </w:r>
      <w:r w:rsidR="00920978" w:rsidRPr="00A44BE3">
        <w:rPr>
          <w:iCs/>
          <w:color w:val="000000"/>
        </w:rPr>
        <w:t>0</w:t>
      </w:r>
      <w:r w:rsidR="00920978" w:rsidRPr="00257803">
        <w:rPr>
          <w:iCs/>
          <w:color w:val="000000"/>
        </w:rPr>
        <w:t>1</w:t>
      </w:r>
      <w:r w:rsidR="00920978" w:rsidRPr="00A44BE3">
        <w:rPr>
          <w:iCs/>
          <w:color w:val="000000"/>
        </w:rPr>
        <w:t xml:space="preserve"> </w:t>
      </w:r>
      <w:r w:rsidR="00920978">
        <w:rPr>
          <w:iCs/>
          <w:color w:val="000000"/>
        </w:rPr>
        <w:t>мкМ/с</w:t>
      </w:r>
      <w:r w:rsidR="00920978">
        <w:rPr>
          <w:iCs/>
          <w:color w:val="000000"/>
        </w:rPr>
        <w:t xml:space="preserve"> и </w:t>
      </w:r>
      <w:r>
        <w:rPr>
          <w:iCs/>
          <w:color w:val="000000"/>
        </w:rPr>
        <w:t xml:space="preserve">эффективная </w:t>
      </w:r>
      <w:r w:rsidR="00920978">
        <w:rPr>
          <w:iCs/>
          <w:color w:val="000000"/>
          <w:lang w:val="en-US"/>
        </w:rPr>
        <w:t>K</w:t>
      </w:r>
      <w:r w:rsidR="00920978" w:rsidRPr="00DA439D">
        <w:rPr>
          <w:iCs/>
          <w:color w:val="000000"/>
          <w:vertAlign w:val="subscript"/>
          <w:lang w:val="en-US"/>
        </w:rPr>
        <w:t>M</w:t>
      </w:r>
      <w:r w:rsidR="00920978" w:rsidRPr="00EB703C">
        <w:rPr>
          <w:iCs/>
          <w:color w:val="000000"/>
        </w:rPr>
        <w:t xml:space="preserve"> =</w:t>
      </w:r>
      <w:r w:rsidR="00920978">
        <w:rPr>
          <w:iCs/>
          <w:color w:val="000000"/>
        </w:rPr>
        <w:t xml:space="preserve"> 0</w:t>
      </w:r>
      <w:r>
        <w:rPr>
          <w:iCs/>
          <w:color w:val="000000"/>
        </w:rPr>
        <w:t>,</w:t>
      </w:r>
      <w:r w:rsidR="00920978">
        <w:rPr>
          <w:iCs/>
          <w:color w:val="000000"/>
        </w:rPr>
        <w:t>31</w:t>
      </w:r>
      <w:r w:rsidR="00920978">
        <w:rPr>
          <w:iCs/>
          <w:color w:val="000000"/>
        </w:rPr>
        <w:t xml:space="preserve"> </w:t>
      </w:r>
      <w:r w:rsidR="00920978">
        <w:rPr>
          <w:iCs/>
          <w:color w:val="000000"/>
        </w:rPr>
        <w:sym w:font="Symbol" w:char="F0B1"/>
      </w:r>
      <w:r w:rsidR="00920978">
        <w:rPr>
          <w:iCs/>
          <w:color w:val="000000"/>
        </w:rPr>
        <w:t xml:space="preserve"> 0</w:t>
      </w:r>
      <w:r>
        <w:rPr>
          <w:iCs/>
          <w:color w:val="000000"/>
        </w:rPr>
        <w:t>,</w:t>
      </w:r>
      <w:r w:rsidR="00920978">
        <w:rPr>
          <w:iCs/>
          <w:color w:val="000000"/>
        </w:rPr>
        <w:t xml:space="preserve">05; </w:t>
      </w:r>
      <w:r w:rsidR="00920978">
        <w:rPr>
          <w:iCs/>
          <w:color w:val="000000"/>
        </w:rPr>
        <w:t>0</w:t>
      </w:r>
      <w:r>
        <w:rPr>
          <w:iCs/>
          <w:color w:val="000000"/>
        </w:rPr>
        <w:t>,</w:t>
      </w:r>
      <w:r w:rsidR="00920978">
        <w:rPr>
          <w:iCs/>
          <w:color w:val="000000"/>
        </w:rPr>
        <w:t>8</w:t>
      </w:r>
      <w:r w:rsidR="00920978">
        <w:rPr>
          <w:iCs/>
          <w:color w:val="000000"/>
        </w:rPr>
        <w:t>4</w:t>
      </w:r>
      <w:r w:rsidR="00920978">
        <w:rPr>
          <w:iCs/>
          <w:color w:val="000000"/>
        </w:rPr>
        <w:t xml:space="preserve"> </w:t>
      </w:r>
      <w:r w:rsidR="00920978">
        <w:rPr>
          <w:iCs/>
          <w:color w:val="000000"/>
        </w:rPr>
        <w:sym w:font="Symbol" w:char="F0B1"/>
      </w:r>
      <w:r w:rsidR="00920978">
        <w:rPr>
          <w:iCs/>
          <w:color w:val="000000"/>
        </w:rPr>
        <w:t xml:space="preserve"> 0</w:t>
      </w:r>
      <w:r>
        <w:rPr>
          <w:iCs/>
          <w:color w:val="000000"/>
        </w:rPr>
        <w:t>,</w:t>
      </w:r>
      <w:r w:rsidR="00920978">
        <w:rPr>
          <w:iCs/>
          <w:color w:val="000000"/>
        </w:rPr>
        <w:t>1</w:t>
      </w:r>
      <w:r w:rsidR="00920978">
        <w:rPr>
          <w:iCs/>
          <w:color w:val="000000"/>
        </w:rPr>
        <w:t xml:space="preserve">0; </w:t>
      </w:r>
      <w:r w:rsidR="00920978">
        <w:rPr>
          <w:iCs/>
          <w:color w:val="000000"/>
        </w:rPr>
        <w:t>0</w:t>
      </w:r>
      <w:r>
        <w:rPr>
          <w:iCs/>
          <w:color w:val="000000"/>
        </w:rPr>
        <w:t>,</w:t>
      </w:r>
      <w:r w:rsidR="00920978">
        <w:rPr>
          <w:iCs/>
          <w:color w:val="000000"/>
        </w:rPr>
        <w:t xml:space="preserve">56 </w:t>
      </w:r>
      <w:r w:rsidR="00920978">
        <w:rPr>
          <w:iCs/>
          <w:color w:val="000000"/>
        </w:rPr>
        <w:sym w:font="Symbol" w:char="F0B1"/>
      </w:r>
      <w:r w:rsidR="00920978">
        <w:rPr>
          <w:iCs/>
          <w:color w:val="000000"/>
        </w:rPr>
        <w:t xml:space="preserve"> 0</w:t>
      </w:r>
      <w:r>
        <w:rPr>
          <w:iCs/>
          <w:color w:val="000000"/>
        </w:rPr>
        <w:t>,</w:t>
      </w:r>
      <w:r w:rsidR="00920978" w:rsidRPr="00EB703C">
        <w:rPr>
          <w:iCs/>
          <w:color w:val="000000"/>
        </w:rPr>
        <w:t>0</w:t>
      </w:r>
      <w:r w:rsidR="00920978" w:rsidRPr="00257803">
        <w:rPr>
          <w:iCs/>
          <w:color w:val="000000"/>
        </w:rPr>
        <w:t>9</w:t>
      </w:r>
      <w:r w:rsidR="00920978">
        <w:rPr>
          <w:iCs/>
          <w:color w:val="000000"/>
        </w:rPr>
        <w:t xml:space="preserve"> мМ</w:t>
      </w:r>
      <w:r w:rsidR="00920978">
        <w:rPr>
          <w:iCs/>
          <w:color w:val="000000"/>
        </w:rPr>
        <w:t xml:space="preserve"> для ДЭА, карбонатного и боратного буферов соответственно. </w:t>
      </w:r>
      <w:r w:rsidR="00FC724A">
        <w:rPr>
          <w:iCs/>
          <w:color w:val="000000"/>
        </w:rPr>
        <w:t xml:space="preserve">Далее было показано, что при </w:t>
      </w:r>
      <w:r w:rsidR="00FC724A">
        <w:rPr>
          <w:iCs/>
          <w:color w:val="000000"/>
        </w:rPr>
        <w:t xml:space="preserve">10 мМ субстрата </w:t>
      </w:r>
      <w:r w:rsidR="00FC724A">
        <w:rPr>
          <w:iCs/>
          <w:color w:val="000000"/>
        </w:rPr>
        <w:t xml:space="preserve">скорость ферментативной реакции в ДЭА буфере возрастает с повышением </w:t>
      </w:r>
      <w:r w:rsidR="00FC724A">
        <w:rPr>
          <w:iCs/>
          <w:color w:val="000000"/>
          <w:lang w:val="en-US"/>
        </w:rPr>
        <w:t>pH</w:t>
      </w:r>
      <w:r w:rsidR="00C02B83">
        <w:rPr>
          <w:iCs/>
          <w:color w:val="000000"/>
        </w:rPr>
        <w:t xml:space="preserve"> с плато от</w:t>
      </w:r>
      <w:r w:rsidR="00584BA0">
        <w:rPr>
          <w:iCs/>
          <w:color w:val="000000"/>
        </w:rPr>
        <w:t xml:space="preserve"> 10</w:t>
      </w:r>
      <w:r w:rsidR="00C02B83">
        <w:rPr>
          <w:iCs/>
          <w:color w:val="000000"/>
        </w:rPr>
        <w:t>,0</w:t>
      </w:r>
      <w:r w:rsidR="00584BA0">
        <w:rPr>
          <w:iCs/>
          <w:color w:val="000000"/>
        </w:rPr>
        <w:t xml:space="preserve"> до 10,4</w:t>
      </w:r>
      <w:r w:rsidR="00C02B83">
        <w:rPr>
          <w:iCs/>
          <w:color w:val="000000"/>
        </w:rPr>
        <w:t>.</w:t>
      </w:r>
      <w:r w:rsidR="000208B2">
        <w:rPr>
          <w:iCs/>
          <w:color w:val="000000"/>
        </w:rPr>
        <w:t xml:space="preserve"> </w:t>
      </w:r>
      <w:r w:rsidR="00584BA0">
        <w:rPr>
          <w:iCs/>
          <w:color w:val="000000"/>
        </w:rPr>
        <w:t xml:space="preserve">Однако, начиная с </w:t>
      </w:r>
      <w:r w:rsidR="00584BA0">
        <w:rPr>
          <w:iCs/>
          <w:color w:val="000000"/>
          <w:lang w:val="en-US"/>
        </w:rPr>
        <w:t>pH</w:t>
      </w:r>
      <w:r w:rsidR="00584BA0" w:rsidRPr="00584BA0">
        <w:rPr>
          <w:iCs/>
          <w:color w:val="000000"/>
        </w:rPr>
        <w:t xml:space="preserve"> = 10</w:t>
      </w:r>
      <w:r w:rsidR="00C02B83">
        <w:rPr>
          <w:iCs/>
          <w:color w:val="000000"/>
        </w:rPr>
        <w:t>,</w:t>
      </w:r>
      <w:r w:rsidR="00584BA0">
        <w:rPr>
          <w:iCs/>
          <w:color w:val="000000"/>
        </w:rPr>
        <w:t xml:space="preserve"> наблюдалось резкое возрастание фоновых сигналов. </w:t>
      </w:r>
      <w:r w:rsidR="000208B2">
        <w:rPr>
          <w:iCs/>
          <w:color w:val="000000"/>
        </w:rPr>
        <w:t xml:space="preserve">В карбонатном буфере при </w:t>
      </w:r>
      <w:r w:rsidR="000208B2">
        <w:rPr>
          <w:iCs/>
          <w:color w:val="000000"/>
        </w:rPr>
        <w:t>10 мМ субстрата</w:t>
      </w:r>
      <w:r w:rsidR="000208B2">
        <w:rPr>
          <w:iCs/>
          <w:color w:val="000000"/>
        </w:rPr>
        <w:t xml:space="preserve"> </w:t>
      </w:r>
      <w:r w:rsidR="000208B2">
        <w:rPr>
          <w:iCs/>
          <w:color w:val="000000"/>
        </w:rPr>
        <w:t xml:space="preserve">максимальная активность </w:t>
      </w:r>
      <w:r w:rsidR="00C02B83">
        <w:rPr>
          <w:iCs/>
          <w:color w:val="000000"/>
        </w:rPr>
        <w:t>достигалась</w:t>
      </w:r>
      <w:r w:rsidR="000208B2">
        <w:rPr>
          <w:iCs/>
          <w:color w:val="000000"/>
        </w:rPr>
        <w:t xml:space="preserve"> при </w:t>
      </w:r>
      <w:r w:rsidR="000208B2">
        <w:rPr>
          <w:iCs/>
          <w:color w:val="000000"/>
          <w:lang w:val="en-US"/>
        </w:rPr>
        <w:t>pH</w:t>
      </w:r>
      <w:r w:rsidR="000208B2" w:rsidRPr="002E77D7">
        <w:rPr>
          <w:iCs/>
          <w:color w:val="000000"/>
        </w:rPr>
        <w:t xml:space="preserve"> = 10</w:t>
      </w:r>
      <w:r w:rsidR="00C02B83">
        <w:rPr>
          <w:iCs/>
          <w:color w:val="000000"/>
        </w:rPr>
        <w:t>,</w:t>
      </w:r>
      <w:r w:rsidR="000208B2" w:rsidRPr="002E77D7">
        <w:rPr>
          <w:iCs/>
          <w:color w:val="000000"/>
        </w:rPr>
        <w:t>2</w:t>
      </w:r>
      <w:r w:rsidR="000208B2">
        <w:rPr>
          <w:iCs/>
          <w:color w:val="000000"/>
        </w:rPr>
        <w:t xml:space="preserve"> </w:t>
      </w:r>
      <w:r w:rsidR="000208B2">
        <w:rPr>
          <w:iCs/>
          <w:color w:val="000000"/>
        </w:rPr>
        <w:t xml:space="preserve">при сохранении низких фоновых сигналов. </w:t>
      </w:r>
      <w:r w:rsidR="00E9647A">
        <w:rPr>
          <w:iCs/>
          <w:color w:val="000000"/>
        </w:rPr>
        <w:t xml:space="preserve">При данном </w:t>
      </w:r>
      <w:r w:rsidR="00E9647A">
        <w:rPr>
          <w:iCs/>
          <w:color w:val="000000"/>
          <w:lang w:val="en-US"/>
        </w:rPr>
        <w:t>pH</w:t>
      </w:r>
      <w:r w:rsidR="00E9647A" w:rsidRPr="00E9647A">
        <w:rPr>
          <w:iCs/>
          <w:color w:val="000000"/>
        </w:rPr>
        <w:t xml:space="preserve"> </w:t>
      </w:r>
      <w:r w:rsidR="00E9647A">
        <w:rPr>
          <w:iCs/>
          <w:color w:val="000000"/>
        </w:rPr>
        <w:t xml:space="preserve">в карбонатном буфере </w:t>
      </w:r>
      <w:r w:rsidR="00C02B83">
        <w:rPr>
          <w:iCs/>
          <w:color w:val="000000"/>
        </w:rPr>
        <w:t xml:space="preserve">были получены следующие кинетические параметры ЩФ: </w:t>
      </w:r>
      <w:r w:rsidR="00E9647A">
        <w:rPr>
          <w:iCs/>
          <w:color w:val="000000"/>
          <w:lang w:val="en-US"/>
        </w:rPr>
        <w:t>V</w:t>
      </w:r>
      <w:r w:rsidR="00E9647A" w:rsidRPr="00DA439D">
        <w:rPr>
          <w:iCs/>
          <w:color w:val="000000"/>
          <w:vertAlign w:val="subscript"/>
          <w:lang w:val="en-US"/>
        </w:rPr>
        <w:t>max</w:t>
      </w:r>
      <w:r w:rsidR="00E9647A" w:rsidRPr="00EB703C">
        <w:rPr>
          <w:iCs/>
          <w:color w:val="000000"/>
        </w:rPr>
        <w:t xml:space="preserve"> </w:t>
      </w:r>
      <w:r w:rsidR="00C02B83">
        <w:rPr>
          <w:iCs/>
          <w:color w:val="000000"/>
        </w:rPr>
        <w:t xml:space="preserve">= </w:t>
      </w:r>
      <w:r w:rsidR="00E9647A" w:rsidRPr="00257803">
        <w:rPr>
          <w:iCs/>
          <w:color w:val="000000"/>
        </w:rPr>
        <w:t>0</w:t>
      </w:r>
      <w:r w:rsidR="00E9647A">
        <w:rPr>
          <w:iCs/>
          <w:color w:val="000000"/>
        </w:rPr>
        <w:t>,</w:t>
      </w:r>
      <w:r w:rsidR="00E9647A">
        <w:rPr>
          <w:iCs/>
          <w:color w:val="000000"/>
        </w:rPr>
        <w:t>83</w:t>
      </w:r>
      <w:r w:rsidR="00E9647A" w:rsidRPr="00A44BE3">
        <w:rPr>
          <w:iCs/>
          <w:color w:val="000000"/>
        </w:rPr>
        <w:t xml:space="preserve"> </w:t>
      </w:r>
      <w:r w:rsidR="00E9647A">
        <w:rPr>
          <w:iCs/>
          <w:color w:val="000000"/>
        </w:rPr>
        <w:sym w:font="Symbol" w:char="F0B1"/>
      </w:r>
      <w:r w:rsidR="00E9647A" w:rsidRPr="00A44BE3">
        <w:rPr>
          <w:iCs/>
          <w:color w:val="000000"/>
        </w:rPr>
        <w:t xml:space="preserve"> 0</w:t>
      </w:r>
      <w:r w:rsidR="00E9647A">
        <w:rPr>
          <w:iCs/>
          <w:color w:val="000000"/>
        </w:rPr>
        <w:t>,</w:t>
      </w:r>
      <w:r w:rsidR="00E9647A" w:rsidRPr="00A44BE3">
        <w:rPr>
          <w:iCs/>
          <w:color w:val="000000"/>
        </w:rPr>
        <w:t>0</w:t>
      </w:r>
      <w:r w:rsidR="00E9647A">
        <w:rPr>
          <w:iCs/>
          <w:color w:val="000000"/>
        </w:rPr>
        <w:t xml:space="preserve">5 </w:t>
      </w:r>
      <w:r w:rsidR="00E9647A">
        <w:rPr>
          <w:iCs/>
          <w:color w:val="000000"/>
        </w:rPr>
        <w:t>мкМ/с</w:t>
      </w:r>
      <w:r w:rsidR="00C02B83">
        <w:rPr>
          <w:iCs/>
          <w:color w:val="000000"/>
        </w:rPr>
        <w:t>,</w:t>
      </w:r>
      <w:r w:rsidR="00E9647A">
        <w:rPr>
          <w:iCs/>
          <w:color w:val="000000"/>
        </w:rPr>
        <w:t xml:space="preserve"> эффективная </w:t>
      </w:r>
      <w:r w:rsidR="00E9647A">
        <w:rPr>
          <w:iCs/>
          <w:color w:val="000000"/>
          <w:lang w:val="en-US"/>
        </w:rPr>
        <w:t>K</w:t>
      </w:r>
      <w:r w:rsidR="00E9647A" w:rsidRPr="00DA439D">
        <w:rPr>
          <w:iCs/>
          <w:color w:val="000000"/>
          <w:vertAlign w:val="subscript"/>
          <w:lang w:val="en-US"/>
        </w:rPr>
        <w:t>M</w:t>
      </w:r>
      <w:r w:rsidR="00E9647A" w:rsidRPr="00EB703C">
        <w:rPr>
          <w:iCs/>
          <w:color w:val="000000"/>
        </w:rPr>
        <w:t xml:space="preserve"> =</w:t>
      </w:r>
      <w:r w:rsidR="00E9647A">
        <w:rPr>
          <w:iCs/>
          <w:color w:val="000000"/>
        </w:rPr>
        <w:t xml:space="preserve"> </w:t>
      </w:r>
      <w:r w:rsidR="00E9647A">
        <w:rPr>
          <w:iCs/>
          <w:color w:val="000000"/>
        </w:rPr>
        <w:t>3,2</w:t>
      </w:r>
      <w:r w:rsidR="00E9647A">
        <w:rPr>
          <w:iCs/>
          <w:color w:val="000000"/>
        </w:rPr>
        <w:t xml:space="preserve"> </w:t>
      </w:r>
      <w:r w:rsidR="00E9647A">
        <w:rPr>
          <w:iCs/>
          <w:color w:val="000000"/>
        </w:rPr>
        <w:sym w:font="Symbol" w:char="F0B1"/>
      </w:r>
      <w:r w:rsidR="00E9647A">
        <w:rPr>
          <w:iCs/>
          <w:color w:val="000000"/>
        </w:rPr>
        <w:t xml:space="preserve"> 0,</w:t>
      </w:r>
      <w:r w:rsidR="00E9647A">
        <w:rPr>
          <w:iCs/>
          <w:color w:val="000000"/>
        </w:rPr>
        <w:t>4 мМ.</w:t>
      </w:r>
    </w:p>
    <w:p w14:paraId="04151ABD" w14:textId="372FE7D1" w:rsidR="002E77D7" w:rsidRDefault="007549A9" w:rsidP="00920978">
      <w:pPr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При высоких концентрация субстрата </w:t>
      </w:r>
      <w:r w:rsidR="00C02B83">
        <w:rPr>
          <w:iCs/>
          <w:color w:val="000000"/>
        </w:rPr>
        <w:t>(</w:t>
      </w:r>
      <w:r>
        <w:rPr>
          <w:iCs/>
          <w:color w:val="000000"/>
        </w:rPr>
        <w:t>более 3</w:t>
      </w:r>
      <w:r w:rsidR="00C02B83">
        <w:rPr>
          <w:iCs/>
          <w:color w:val="000000"/>
        </w:rPr>
        <w:t>,</w:t>
      </w:r>
      <w:r>
        <w:rPr>
          <w:iCs/>
          <w:color w:val="000000"/>
        </w:rPr>
        <w:t>3</w:t>
      </w:r>
      <w:r w:rsidR="00920978">
        <w:rPr>
          <w:iCs/>
          <w:color w:val="000000"/>
        </w:rPr>
        <w:t xml:space="preserve"> </w:t>
      </w:r>
      <w:r>
        <w:rPr>
          <w:iCs/>
          <w:color w:val="000000"/>
        </w:rPr>
        <w:t>мМ</w:t>
      </w:r>
      <w:r w:rsidR="00C02B83">
        <w:rPr>
          <w:iCs/>
          <w:color w:val="000000"/>
        </w:rPr>
        <w:t>)</w:t>
      </w:r>
      <w:r>
        <w:rPr>
          <w:iCs/>
          <w:color w:val="000000"/>
        </w:rPr>
        <w:t xml:space="preserve"> скорость ферментативной реакции </w:t>
      </w:r>
      <w:r w:rsidR="00C02B83">
        <w:rPr>
          <w:iCs/>
          <w:color w:val="000000"/>
        </w:rPr>
        <w:t>в карбонатном буфере</w:t>
      </w:r>
      <w:r>
        <w:rPr>
          <w:iCs/>
          <w:color w:val="000000"/>
        </w:rPr>
        <w:t xml:space="preserve"> </w:t>
      </w:r>
      <w:r w:rsidR="00920978">
        <w:rPr>
          <w:iCs/>
          <w:color w:val="000000"/>
        </w:rPr>
        <w:t xml:space="preserve">при </w:t>
      </w:r>
      <w:r w:rsidR="00920978">
        <w:rPr>
          <w:iCs/>
          <w:color w:val="000000"/>
          <w:lang w:val="en-US"/>
        </w:rPr>
        <w:t>pH</w:t>
      </w:r>
      <w:r w:rsidR="00920978" w:rsidRPr="00920978">
        <w:rPr>
          <w:iCs/>
          <w:color w:val="000000"/>
        </w:rPr>
        <w:t xml:space="preserve"> = </w:t>
      </w:r>
      <w:r>
        <w:rPr>
          <w:iCs/>
          <w:color w:val="000000"/>
        </w:rPr>
        <w:t>10</w:t>
      </w:r>
      <w:r w:rsidR="00C02B83">
        <w:rPr>
          <w:iCs/>
          <w:color w:val="000000"/>
        </w:rPr>
        <w:t>,</w:t>
      </w:r>
      <w:r>
        <w:rPr>
          <w:iCs/>
          <w:color w:val="000000"/>
        </w:rPr>
        <w:t xml:space="preserve">2 оказывается выше, чем </w:t>
      </w:r>
      <w:r w:rsidR="00C02B83">
        <w:rPr>
          <w:iCs/>
          <w:color w:val="000000"/>
        </w:rPr>
        <w:t>в</w:t>
      </w:r>
      <w:r>
        <w:rPr>
          <w:iCs/>
          <w:color w:val="000000"/>
        </w:rPr>
        <w:t xml:space="preserve"> ДЭА</w:t>
      </w:r>
      <w:r w:rsidR="00920978">
        <w:rPr>
          <w:iCs/>
          <w:color w:val="000000"/>
        </w:rPr>
        <w:t xml:space="preserve"> при </w:t>
      </w:r>
      <w:r w:rsidR="00920978">
        <w:rPr>
          <w:iCs/>
          <w:color w:val="000000"/>
          <w:lang w:val="en-US"/>
        </w:rPr>
        <w:t>pH</w:t>
      </w:r>
      <w:r w:rsidR="00920978" w:rsidRPr="00920978">
        <w:rPr>
          <w:iCs/>
          <w:color w:val="000000"/>
        </w:rPr>
        <w:t xml:space="preserve"> = </w:t>
      </w:r>
      <w:r>
        <w:rPr>
          <w:iCs/>
          <w:color w:val="000000"/>
        </w:rPr>
        <w:t>9</w:t>
      </w:r>
      <w:r w:rsidR="00C02B83">
        <w:rPr>
          <w:iCs/>
          <w:color w:val="000000"/>
        </w:rPr>
        <w:t>,</w:t>
      </w:r>
      <w:r>
        <w:rPr>
          <w:iCs/>
          <w:color w:val="000000"/>
        </w:rPr>
        <w:t xml:space="preserve">6. </w:t>
      </w:r>
      <w:r w:rsidR="00C02B83">
        <w:rPr>
          <w:iCs/>
          <w:color w:val="000000"/>
        </w:rPr>
        <w:t xml:space="preserve">С аналитической точки зрения это означает более высокую чувствительность детектирующей системы. Например, при </w:t>
      </w:r>
      <w:r w:rsidR="00920978">
        <w:rPr>
          <w:iCs/>
          <w:color w:val="000000"/>
        </w:rPr>
        <w:t>4 мМ</w:t>
      </w:r>
      <w:r w:rsidR="00920978">
        <w:rPr>
          <w:iCs/>
          <w:color w:val="000000"/>
        </w:rPr>
        <w:t xml:space="preserve"> </w:t>
      </w:r>
      <w:r w:rsidR="00920978">
        <w:rPr>
          <w:iCs/>
          <w:color w:val="000000"/>
        </w:rPr>
        <w:t xml:space="preserve">субстрата в </w:t>
      </w:r>
      <w:r w:rsidR="00C02B83">
        <w:rPr>
          <w:iCs/>
          <w:color w:val="000000"/>
        </w:rPr>
        <w:t>карбонатном буфере</w:t>
      </w:r>
      <w:r w:rsidR="002C2692">
        <w:rPr>
          <w:iCs/>
          <w:color w:val="000000"/>
        </w:rPr>
        <w:t xml:space="preserve"> с </w:t>
      </w:r>
      <w:r w:rsidR="002C2692">
        <w:rPr>
          <w:iCs/>
          <w:color w:val="000000"/>
          <w:lang w:val="en-US"/>
        </w:rPr>
        <w:t>pH</w:t>
      </w:r>
      <w:r w:rsidR="002C2692" w:rsidRPr="002C2692">
        <w:rPr>
          <w:iCs/>
          <w:color w:val="000000"/>
        </w:rPr>
        <w:t xml:space="preserve"> = 10,2</w:t>
      </w:r>
      <w:r w:rsidR="00C02B83">
        <w:rPr>
          <w:iCs/>
          <w:color w:val="000000"/>
        </w:rPr>
        <w:t xml:space="preserve"> </w:t>
      </w:r>
      <w:r w:rsidR="00920978">
        <w:rPr>
          <w:iCs/>
          <w:color w:val="000000"/>
        </w:rPr>
        <w:t>к</w:t>
      </w:r>
      <w:r>
        <w:rPr>
          <w:iCs/>
          <w:color w:val="000000"/>
        </w:rPr>
        <w:t xml:space="preserve">алибровочные зависимости сигнала от концентрации конъюгата </w:t>
      </w:r>
      <w:r w:rsidR="00C02B83">
        <w:rPr>
          <w:iCs/>
          <w:color w:val="000000"/>
        </w:rPr>
        <w:t>демонстрируют наклон</w:t>
      </w:r>
      <w:r w:rsidR="00920978">
        <w:rPr>
          <w:iCs/>
          <w:color w:val="000000"/>
        </w:rPr>
        <w:t xml:space="preserve"> </w:t>
      </w:r>
      <w:r>
        <w:rPr>
          <w:iCs/>
          <w:color w:val="000000"/>
        </w:rPr>
        <w:t>на 20%</w:t>
      </w:r>
      <w:r w:rsidR="00920978">
        <w:rPr>
          <w:iCs/>
          <w:color w:val="000000"/>
        </w:rPr>
        <w:t xml:space="preserve"> выше, чем </w:t>
      </w:r>
      <w:r w:rsidR="00C02B83">
        <w:rPr>
          <w:iCs/>
          <w:color w:val="000000"/>
        </w:rPr>
        <w:t>в</w:t>
      </w:r>
      <w:r w:rsidR="00920978">
        <w:rPr>
          <w:iCs/>
          <w:color w:val="000000"/>
        </w:rPr>
        <w:t xml:space="preserve"> ДЭА буфер</w:t>
      </w:r>
      <w:r w:rsidR="00C02B83">
        <w:rPr>
          <w:iCs/>
          <w:color w:val="000000"/>
        </w:rPr>
        <w:t>е</w:t>
      </w:r>
      <w:r w:rsidR="002C2692" w:rsidRPr="002C2692">
        <w:rPr>
          <w:iCs/>
          <w:color w:val="000000"/>
        </w:rPr>
        <w:t xml:space="preserve"> </w:t>
      </w:r>
      <w:r w:rsidR="002C2692">
        <w:rPr>
          <w:iCs/>
          <w:color w:val="000000"/>
        </w:rPr>
        <w:t xml:space="preserve">с </w:t>
      </w:r>
      <w:r w:rsidR="002C2692">
        <w:rPr>
          <w:iCs/>
          <w:color w:val="000000"/>
          <w:lang w:val="en-US"/>
        </w:rPr>
        <w:t>pH</w:t>
      </w:r>
      <w:r w:rsidR="002C2692" w:rsidRPr="002C2692">
        <w:rPr>
          <w:iCs/>
          <w:color w:val="000000"/>
        </w:rPr>
        <w:t xml:space="preserve"> = 9,6</w:t>
      </w:r>
      <w:r w:rsidR="00C02B83">
        <w:rPr>
          <w:iCs/>
          <w:color w:val="000000"/>
        </w:rPr>
        <w:t>.</w:t>
      </w:r>
    </w:p>
    <w:p w14:paraId="3486C755" w14:textId="517ADD37" w:rsidR="00116478" w:rsidRPr="0098437D" w:rsidRDefault="00064C21" w:rsidP="0098437D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>
        <w:rPr>
          <w:iCs/>
          <w:color w:val="000000"/>
        </w:rPr>
        <w:t>по результатам проведенной работы был</w:t>
      </w:r>
      <w:r>
        <w:rPr>
          <w:iCs/>
          <w:color w:val="000000"/>
        </w:rPr>
        <w:t xml:space="preserve">и найдены оптимальные условия (карбонатный буфер, </w:t>
      </w:r>
      <w:r>
        <w:rPr>
          <w:iCs/>
          <w:color w:val="000000"/>
          <w:lang w:val="en-US"/>
        </w:rPr>
        <w:t>pH</w:t>
      </w:r>
      <w:r w:rsidRPr="00064C21">
        <w:rPr>
          <w:iCs/>
          <w:color w:val="000000"/>
        </w:rPr>
        <w:t xml:space="preserve"> = 10</w:t>
      </w:r>
      <w:r>
        <w:rPr>
          <w:iCs/>
          <w:color w:val="000000"/>
        </w:rPr>
        <w:t xml:space="preserve">,2, </w:t>
      </w:r>
      <w:r>
        <w:rPr>
          <w:iCs/>
          <w:color w:val="000000"/>
        </w:rPr>
        <w:sym w:font="Symbol" w:char="F03E"/>
      </w:r>
      <w:r>
        <w:rPr>
          <w:iCs/>
          <w:color w:val="000000"/>
        </w:rPr>
        <w:t xml:space="preserve">3,3 мМ субстрата) проведения ферментативной и электрохимической реакций </w:t>
      </w:r>
      <w:r w:rsidRPr="00064C21">
        <w:rPr>
          <w:iCs/>
          <w:color w:val="000000"/>
        </w:rPr>
        <w:t xml:space="preserve">для </w:t>
      </w:r>
      <w:r>
        <w:rPr>
          <w:iCs/>
          <w:color w:val="000000"/>
        </w:rPr>
        <w:t xml:space="preserve">использования в </w:t>
      </w:r>
      <w:r w:rsidRPr="00064C21">
        <w:rPr>
          <w:iCs/>
          <w:color w:val="000000"/>
        </w:rPr>
        <w:t>иммуноферментно</w:t>
      </w:r>
      <w:r>
        <w:rPr>
          <w:iCs/>
          <w:color w:val="000000"/>
        </w:rPr>
        <w:t>м</w:t>
      </w:r>
      <w:r w:rsidRPr="00064C21">
        <w:rPr>
          <w:iCs/>
          <w:color w:val="000000"/>
        </w:rPr>
        <w:t xml:space="preserve"> анализ</w:t>
      </w:r>
      <w:r>
        <w:rPr>
          <w:iCs/>
          <w:color w:val="000000"/>
        </w:rPr>
        <w:t>е</w:t>
      </w:r>
      <w:r w:rsidRPr="00064C21">
        <w:rPr>
          <w:iCs/>
          <w:color w:val="000000"/>
        </w:rPr>
        <w:t xml:space="preserve"> с электрохимической детекцией</w:t>
      </w:r>
      <w:r>
        <w:rPr>
          <w:iCs/>
          <w:color w:val="000000"/>
        </w:rPr>
        <w:t>.</w:t>
      </w:r>
    </w:p>
    <w:sectPr w:rsidR="00116478" w:rsidRPr="0098437D" w:rsidSect="00A36C8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08B2"/>
    <w:rsid w:val="00063966"/>
    <w:rsid w:val="00064C21"/>
    <w:rsid w:val="00075D6E"/>
    <w:rsid w:val="00086081"/>
    <w:rsid w:val="0009449A"/>
    <w:rsid w:val="00094FD0"/>
    <w:rsid w:val="000E334E"/>
    <w:rsid w:val="00101A1C"/>
    <w:rsid w:val="00103657"/>
    <w:rsid w:val="00106375"/>
    <w:rsid w:val="00107964"/>
    <w:rsid w:val="00107AA3"/>
    <w:rsid w:val="00116478"/>
    <w:rsid w:val="00130241"/>
    <w:rsid w:val="001471AD"/>
    <w:rsid w:val="00155049"/>
    <w:rsid w:val="001E61C2"/>
    <w:rsid w:val="001F0493"/>
    <w:rsid w:val="0022260A"/>
    <w:rsid w:val="00222A45"/>
    <w:rsid w:val="002264EE"/>
    <w:rsid w:val="0023307C"/>
    <w:rsid w:val="002B1CD0"/>
    <w:rsid w:val="002B59F8"/>
    <w:rsid w:val="002C2692"/>
    <w:rsid w:val="002E666C"/>
    <w:rsid w:val="002E77D7"/>
    <w:rsid w:val="0031361E"/>
    <w:rsid w:val="00344930"/>
    <w:rsid w:val="00373E2D"/>
    <w:rsid w:val="00391C38"/>
    <w:rsid w:val="003B76D6"/>
    <w:rsid w:val="003C01A2"/>
    <w:rsid w:val="003C706E"/>
    <w:rsid w:val="003D09AD"/>
    <w:rsid w:val="003E2601"/>
    <w:rsid w:val="003E5FA8"/>
    <w:rsid w:val="003F4E6B"/>
    <w:rsid w:val="003F6509"/>
    <w:rsid w:val="0046482F"/>
    <w:rsid w:val="004A26A3"/>
    <w:rsid w:val="004B487C"/>
    <w:rsid w:val="004F0EDF"/>
    <w:rsid w:val="005113A2"/>
    <w:rsid w:val="00522BF1"/>
    <w:rsid w:val="00584BA0"/>
    <w:rsid w:val="00590166"/>
    <w:rsid w:val="005B07E6"/>
    <w:rsid w:val="005D022B"/>
    <w:rsid w:val="005E5BE9"/>
    <w:rsid w:val="00665279"/>
    <w:rsid w:val="0069427D"/>
    <w:rsid w:val="006F093E"/>
    <w:rsid w:val="006F7A19"/>
    <w:rsid w:val="00705378"/>
    <w:rsid w:val="007213E1"/>
    <w:rsid w:val="007549A9"/>
    <w:rsid w:val="00775389"/>
    <w:rsid w:val="00797838"/>
    <w:rsid w:val="007C36D8"/>
    <w:rsid w:val="007F2744"/>
    <w:rsid w:val="008931BE"/>
    <w:rsid w:val="008C67E3"/>
    <w:rsid w:val="00904CA3"/>
    <w:rsid w:val="00914205"/>
    <w:rsid w:val="00920978"/>
    <w:rsid w:val="00921D45"/>
    <w:rsid w:val="009426C0"/>
    <w:rsid w:val="00953208"/>
    <w:rsid w:val="00980A65"/>
    <w:rsid w:val="0098437D"/>
    <w:rsid w:val="009A66DB"/>
    <w:rsid w:val="009B2F80"/>
    <w:rsid w:val="009B3300"/>
    <w:rsid w:val="009F3380"/>
    <w:rsid w:val="00A02163"/>
    <w:rsid w:val="00A314FE"/>
    <w:rsid w:val="00A36C8F"/>
    <w:rsid w:val="00AA1D62"/>
    <w:rsid w:val="00AD7380"/>
    <w:rsid w:val="00BF36F8"/>
    <w:rsid w:val="00BF4622"/>
    <w:rsid w:val="00C02B83"/>
    <w:rsid w:val="00C2164E"/>
    <w:rsid w:val="00C36346"/>
    <w:rsid w:val="00C67053"/>
    <w:rsid w:val="00C844E2"/>
    <w:rsid w:val="00CB7C2B"/>
    <w:rsid w:val="00CD00B1"/>
    <w:rsid w:val="00CE4A13"/>
    <w:rsid w:val="00D22306"/>
    <w:rsid w:val="00D37D84"/>
    <w:rsid w:val="00D42542"/>
    <w:rsid w:val="00D8121C"/>
    <w:rsid w:val="00DD47C4"/>
    <w:rsid w:val="00E22189"/>
    <w:rsid w:val="00E32422"/>
    <w:rsid w:val="00E74069"/>
    <w:rsid w:val="00E81D35"/>
    <w:rsid w:val="00E9647A"/>
    <w:rsid w:val="00EA63EC"/>
    <w:rsid w:val="00EB1F49"/>
    <w:rsid w:val="00EC5573"/>
    <w:rsid w:val="00EF252E"/>
    <w:rsid w:val="00F55054"/>
    <w:rsid w:val="00F865B3"/>
    <w:rsid w:val="00FA2140"/>
    <w:rsid w:val="00FB1509"/>
    <w:rsid w:val="00FC724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51</cp:revision>
  <cp:lastPrinted>2026-01-28T14:24:00Z</cp:lastPrinted>
  <dcterms:created xsi:type="dcterms:W3CDTF">2026-01-28T14:24:00Z</dcterms:created>
  <dcterms:modified xsi:type="dcterms:W3CDTF">2026-03-02T16:31:00Z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