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Разработка и исследование сорбентов на основе литий-алюминиевых слоистых двойных гидроксидов, легированных  переходными металлами, для извлечения лития из растворов</w:t>
        <w:br w:type="textWrapping"/>
        <w:t xml:space="preserve">Н. А. Попонина, М. А. Мошкова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Студент, 2 курс магистратуры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Национальный исследовательский университет ИТМО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napoponina@itmo.ru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="240" w:lineRule="auto"/>
        <w:ind w:left="0"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последние десятилетия наблюдается экспоненциальный рост спроса на литий, обусловленный увеличением производства литий-ионных аккумуляторов для электромобилей, портативной электроники и систем аккумулирования энергии [1]. Согласно прогнозам Международного энергетического агентства, к 2030 году глобальный спрос превысит 2,5 млн тонн в год, что усугубит дефицит при ограниченных запасах [2]. Литий как стратегический элемент требует эффективных методов извлечения из альтернативных источников, включая рассолы и геотермальные воды. Традиционные технологии, такие как солнечное испарение, электролиз и жидкостная экстракция, характеризуются высокой энергоемкостью, экологическими рисками и низкой селективностью к Li⁺ по отношению к Na⁺, K⁺, Mg²⁺ и Ca²⁺ [3, 4].</w:t>
        <w:br w:type="textWrapping"/>
        <w:t xml:space="preserve">      Перспективным подходом являются сорбционные методы на основе адсорбции лития специализированными материалами, обладающими высокой емкостью, селективностью, стабильностью и способностью к  регенерации. К существующим сорбентам относятся гидроксиды, оксиды, силикагель. Слоистые двойные гидроксиды (LDH) привлекают внимание благодаря пористости, наличию активных центров, стабильности и возможности поверхностной модификации.</w:t>
        <w:br w:type="textWrapping"/>
        <w:t xml:space="preserve">      В настоящей работе разработаны сорбенты на основе слоистых двойных гидроксидов лития-алюминия, легированные переходными металлами (Zn, Co). Влияние легирующих элементов проявляется в следующих эффектах: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дополнительных активных центров: ионы Zn²⁺ и Co²⁺ замещают Al³⁺ в октоэдрических позициях, генерируя дефекты и повышая емкость адсорбции за счет ионного обмена и координации;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Оптимизация селективности: изменение электронной структуры слоев усиливает предпочтение к Li⁺ благодаря стерическим и электростатическим факторам;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Стабилизация структуры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line="240" w:lineRule="auto"/>
        <w:ind w:left="0" w:firstLine="425.19685039370074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 исследуемых соединений был проведён золь-гель методом. С помощью метода порошковой рентгеновской дифракции определены фазовый состав и степень кристалличности полученных сорбентов. Характерное смещение рефлексов, соответствующих плоскостям (003) и (006), в область меньших углов 2θ свидетельствует об увеличении межплоскостного расстояния d₀₀₃ кристаллических решеток в соответствии с законом Брэгга (nλ = 2d sinθ). </w:t>
        <w:br w:type="textWrapping"/>
        <w:t xml:space="preserve">   С помощью метода ионной хроматографии оценили динамическую сорбционную ёмкость сорбентов. Для образца без примесей, она составила 5,67 мг/г, для сорбента, легированного цинком, составила 7,67 мг/г, легированного кобальтом – 12,48 мг/г.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Работа была выполнена при поддержке государственного задания №FSER-2025-0016 в рамках национального проекта «Наука и университеты».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1.International Energy Agency. Global EV Outlook 2023. Paris: IEA, 2023. 120 с.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f1f1f"/>
            <w:sz w:val="24"/>
            <w:szCs w:val="24"/>
            <w:rtl w:val="0"/>
          </w:rPr>
          <w:t xml:space="preserve">Flexer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V., Baspineiro C. F., Galli C. I. Lithium recovery from brines // Science of The Total Environment. 2018. Т. 639. С. 1188-1204.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3.U.S.Geological Survey. Mineral Commodity Summaries 2024:Lithium.Reston:USGS,2024. 20 с.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  <w:sectPr>
          <w:pgSz w:h="16834" w:w="11909" w:orient="portrait"/>
          <w:pgMar w:bottom="1133.8582677165355" w:top="1133.8582677165355" w:left="1360.6299212598426" w:right="1360.6299212598426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4.Moshkova M. A., Doroshenko I. V., Filippova I. S. [и др.]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//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f1f1f"/>
            <w:sz w:val="24"/>
            <w:szCs w:val="24"/>
            <w:rtl w:val="0"/>
          </w:rPr>
          <w:t xml:space="preserve">Desalination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2025. Т. 616. С.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11933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700.7874015748032" w:top="1700.7874015748032" w:left="1700.7874015748032" w:right="1700.787401574803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ciencedirect.com/author/11440273600/victoria-flexer" TargetMode="External"/><Relationship Id="rId7" Type="http://schemas.openxmlformats.org/officeDocument/2006/relationships/hyperlink" Target="https://www.sciencedirect.com/journal/desal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