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4812DF9" w:rsidR="00130241" w:rsidRPr="00F94E0F" w:rsidRDefault="00F94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Отверждение имитаторов отработавших сорбентов</w:t>
      </w:r>
      <w:r w:rsidR="00A05A3A">
        <w:rPr>
          <w:b/>
          <w:color w:val="000000"/>
        </w:rPr>
        <w:t xml:space="preserve">, насыщенных </w:t>
      </w:r>
      <w:r w:rsidR="00DC5E6E" w:rsidRPr="00DC5E6E">
        <w:rPr>
          <w:b/>
          <w:color w:val="000000"/>
          <w:vertAlign w:val="superscript"/>
        </w:rPr>
        <w:t>137</w:t>
      </w:r>
      <w:r w:rsidR="00DC5E6E" w:rsidRPr="00DC5E6E">
        <w:rPr>
          <w:b/>
          <w:color w:val="000000"/>
        </w:rPr>
        <w:t xml:space="preserve">Cs и </w:t>
      </w:r>
      <w:r w:rsidR="00DC5E6E" w:rsidRPr="00DC5E6E">
        <w:rPr>
          <w:b/>
          <w:color w:val="000000"/>
          <w:vertAlign w:val="superscript"/>
        </w:rPr>
        <w:t>90</w:t>
      </w:r>
      <w:r w:rsidR="00DC5E6E" w:rsidRPr="00DC5E6E">
        <w:rPr>
          <w:b/>
          <w:color w:val="000000"/>
        </w:rPr>
        <w:t xml:space="preserve">Sr </w:t>
      </w:r>
      <w:r w:rsidR="00A05A3A">
        <w:rPr>
          <w:b/>
          <w:color w:val="000000"/>
        </w:rPr>
        <w:t xml:space="preserve">в составе короткоживущей фракции </w:t>
      </w:r>
      <w:r>
        <w:rPr>
          <w:b/>
          <w:color w:val="000000"/>
        </w:rPr>
        <w:t xml:space="preserve">с использованием </w:t>
      </w:r>
      <w:r w:rsidR="003F7D07">
        <w:rPr>
          <w:b/>
          <w:color w:val="000000"/>
        </w:rPr>
        <w:t>МКФ-</w:t>
      </w:r>
      <w:r w:rsidR="00DC5E6E">
        <w:rPr>
          <w:b/>
          <w:color w:val="000000"/>
        </w:rPr>
        <w:t>компаунда</w:t>
      </w:r>
    </w:p>
    <w:p w14:paraId="00000002" w14:textId="115E9F90" w:rsidR="00130241" w:rsidRDefault="00550D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Назаренко К.М.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Матвеенко А.В.</w:t>
      </w:r>
      <w:r w:rsidRPr="00550DFD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Белова К.Ю.</w:t>
      </w:r>
      <w:r w:rsidRPr="00550DFD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Чалышева Н.Д.</w:t>
      </w:r>
      <w:r w:rsidRPr="00BF4622">
        <w:rPr>
          <w:b/>
          <w:i/>
          <w:color w:val="000000"/>
          <w:vertAlign w:val="superscript"/>
        </w:rPr>
        <w:t xml:space="preserve"> 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5445B49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550DFD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550DFD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7EFFE61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550DFD"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7" w14:textId="3A2B3396" w:rsidR="00130241" w:rsidRPr="000E334E" w:rsidRDefault="00550DFD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50DFD">
        <w:rPr>
          <w:i/>
          <w:color w:val="000000"/>
          <w:vertAlign w:val="superscript"/>
        </w:rPr>
        <w:t>2</w:t>
      </w:r>
      <w:r w:rsidRPr="00550DFD">
        <w:rPr>
          <w:i/>
          <w:color w:val="000000"/>
        </w:rPr>
        <w:t>Институт геохимии и аналитической химии им. В.И. Вернадского РАН, Москва,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5A7482B0" w:rsidR="00130241" w:rsidRPr="005118A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118A3">
        <w:rPr>
          <w:i/>
          <w:color w:val="000000"/>
          <w:lang w:val="en-US"/>
        </w:rPr>
        <w:t>E</w:t>
      </w:r>
      <w:r w:rsidR="003B76D6" w:rsidRPr="005118A3">
        <w:rPr>
          <w:i/>
          <w:color w:val="000000"/>
          <w:lang w:val="en-US"/>
        </w:rPr>
        <w:t>-</w:t>
      </w:r>
      <w:r w:rsidRPr="005118A3">
        <w:rPr>
          <w:i/>
          <w:color w:val="000000"/>
          <w:lang w:val="en-US"/>
        </w:rPr>
        <w:t>mail</w:t>
      </w:r>
      <w:r w:rsidR="00550DFD" w:rsidRPr="005118A3">
        <w:rPr>
          <w:i/>
          <w:color w:val="000000"/>
          <w:lang w:val="en-US"/>
        </w:rPr>
        <w:t>: kseniia.nazarenko@chemistry.msu.ru</w:t>
      </w:r>
    </w:p>
    <w:p w14:paraId="782496BB" w14:textId="12FFD23A" w:rsidR="005118A3" w:rsidRDefault="005118A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В качестве альтернативы </w:t>
      </w:r>
      <w:r w:rsidR="005523FF">
        <w:rPr>
          <w:color w:val="000000"/>
        </w:rPr>
        <w:t>боросиликатным стёклам</w:t>
      </w:r>
      <w:r>
        <w:rPr>
          <w:color w:val="000000"/>
        </w:rPr>
        <w:t xml:space="preserve"> для </w:t>
      </w:r>
      <w:r w:rsidR="00166E97">
        <w:rPr>
          <w:color w:val="000000"/>
        </w:rPr>
        <w:t>отверждения</w:t>
      </w:r>
      <w:r>
        <w:rPr>
          <w:color w:val="000000"/>
        </w:rPr>
        <w:t xml:space="preserve"> короткоживущей фракции (КФ), представляющей собой</w:t>
      </w:r>
      <w:r w:rsidRPr="005118A3">
        <w:rPr>
          <w:color w:val="000000"/>
        </w:rPr>
        <w:t xml:space="preserve"> тепловыделяющую фракцию </w:t>
      </w:r>
      <w:r w:rsidR="008F3518" w:rsidRPr="008F3518">
        <w:rPr>
          <w:bCs/>
          <w:color w:val="000000"/>
          <w:vertAlign w:val="superscript"/>
        </w:rPr>
        <w:t>137</w:t>
      </w:r>
      <w:r w:rsidR="008F3518" w:rsidRPr="008F3518">
        <w:rPr>
          <w:bCs/>
          <w:color w:val="000000"/>
        </w:rPr>
        <w:t xml:space="preserve">Cs и </w:t>
      </w:r>
      <w:r w:rsidR="008F3518" w:rsidRPr="008F3518">
        <w:rPr>
          <w:bCs/>
          <w:color w:val="000000"/>
          <w:vertAlign w:val="superscript"/>
        </w:rPr>
        <w:t>90</w:t>
      </w:r>
      <w:r w:rsidR="008F3518" w:rsidRPr="008F3518">
        <w:rPr>
          <w:bCs/>
          <w:color w:val="000000"/>
        </w:rPr>
        <w:t>Sr</w:t>
      </w:r>
      <w:r w:rsidRPr="005118A3">
        <w:rPr>
          <w:color w:val="000000"/>
        </w:rPr>
        <w:t>, отделенную от долгоживущих нуклидов</w:t>
      </w:r>
      <w:r>
        <w:rPr>
          <w:color w:val="000000"/>
        </w:rPr>
        <w:t xml:space="preserve">, рассматривают </w:t>
      </w:r>
      <w:r w:rsidRPr="005118A3">
        <w:rPr>
          <w:color w:val="000000"/>
        </w:rPr>
        <w:t>магний-калий-фосфатный (МКФ) компаунд на основе MgKPO</w:t>
      </w:r>
      <w:r w:rsidRPr="005118A3">
        <w:rPr>
          <w:color w:val="000000"/>
          <w:vertAlign w:val="subscript"/>
        </w:rPr>
        <w:t>4</w:t>
      </w:r>
      <w:r w:rsidRPr="005118A3">
        <w:rPr>
          <w:color w:val="000000"/>
        </w:rPr>
        <w:t>∙6H</w:t>
      </w:r>
      <w:r w:rsidRPr="005118A3">
        <w:rPr>
          <w:color w:val="000000"/>
          <w:vertAlign w:val="subscript"/>
        </w:rPr>
        <w:t>2</w:t>
      </w:r>
      <w:r w:rsidRPr="005118A3">
        <w:rPr>
          <w:color w:val="000000"/>
        </w:rPr>
        <w:t>O – синтетичес</w:t>
      </w:r>
      <w:r w:rsidR="005523FF">
        <w:rPr>
          <w:color w:val="000000"/>
        </w:rPr>
        <w:t>к</w:t>
      </w:r>
      <w:r w:rsidR="00166E97">
        <w:rPr>
          <w:color w:val="000000"/>
        </w:rPr>
        <w:t>ого</w:t>
      </w:r>
      <w:r w:rsidRPr="005118A3">
        <w:rPr>
          <w:color w:val="000000"/>
        </w:rPr>
        <w:t xml:space="preserve"> аналог</w:t>
      </w:r>
      <w:r w:rsidR="00166E97">
        <w:rPr>
          <w:color w:val="000000"/>
        </w:rPr>
        <w:t>а</w:t>
      </w:r>
      <w:r w:rsidRPr="005118A3">
        <w:rPr>
          <w:color w:val="000000"/>
        </w:rPr>
        <w:t xml:space="preserve"> природного минерала K-струвит</w:t>
      </w:r>
      <w:r>
        <w:rPr>
          <w:color w:val="000000"/>
        </w:rPr>
        <w:t xml:space="preserve">а. Для повышения надёжности иммобилизации </w:t>
      </w:r>
      <w:r w:rsidR="00457420">
        <w:rPr>
          <w:color w:val="000000"/>
        </w:rPr>
        <w:t>подвижных</w:t>
      </w:r>
      <w:r>
        <w:rPr>
          <w:color w:val="000000"/>
        </w:rPr>
        <w:t xml:space="preserve"> нуклидов </w:t>
      </w:r>
      <w:r>
        <w:rPr>
          <w:color w:val="000000"/>
          <w:lang w:val="en-US"/>
        </w:rPr>
        <w:t>Cs</w:t>
      </w:r>
      <w:r w:rsidRPr="00D90727">
        <w:rPr>
          <w:color w:val="000000"/>
        </w:rPr>
        <w:t xml:space="preserve"> </w:t>
      </w:r>
      <w:r w:rsidR="00D90727">
        <w:rPr>
          <w:color w:val="000000"/>
        </w:rPr>
        <w:t xml:space="preserve">и </w:t>
      </w:r>
      <w:r>
        <w:rPr>
          <w:color w:val="000000"/>
          <w:lang w:val="en-US"/>
        </w:rPr>
        <w:t>Sr</w:t>
      </w:r>
      <w:r w:rsidR="00D90727">
        <w:rPr>
          <w:color w:val="000000"/>
        </w:rPr>
        <w:t xml:space="preserve"> предполагается их предварительная сорбция </w:t>
      </w:r>
      <w:r w:rsidR="00D90727" w:rsidRPr="00D90727">
        <w:rPr>
          <w:color w:val="000000"/>
        </w:rPr>
        <w:t>в составе ферроцианида калия-никеля</w:t>
      </w:r>
      <w:r w:rsidR="00D90727">
        <w:rPr>
          <w:color w:val="000000"/>
        </w:rPr>
        <w:t xml:space="preserve"> на сорбентах марки «</w:t>
      </w:r>
      <w:proofErr w:type="gramStart"/>
      <w:r w:rsidR="00D90727">
        <w:rPr>
          <w:color w:val="000000"/>
        </w:rPr>
        <w:t>Термоксид»</w:t>
      </w:r>
      <w:r w:rsidR="00201A27" w:rsidRPr="00201A27">
        <w:rPr>
          <w:color w:val="000000"/>
        </w:rPr>
        <w:t>[</w:t>
      </w:r>
      <w:proofErr w:type="gramEnd"/>
      <w:r w:rsidR="003F7D07">
        <w:rPr>
          <w:color w:val="000000"/>
        </w:rPr>
        <w:t>1</w:t>
      </w:r>
      <w:r w:rsidR="00201A27" w:rsidRPr="00201A27">
        <w:rPr>
          <w:color w:val="000000"/>
        </w:rPr>
        <w:t>]</w:t>
      </w:r>
      <w:r w:rsidR="00D90727">
        <w:rPr>
          <w:color w:val="000000"/>
        </w:rPr>
        <w:t xml:space="preserve">. </w:t>
      </w:r>
    </w:p>
    <w:p w14:paraId="454DA5C4" w14:textId="1B76655E" w:rsidR="00D90727" w:rsidRDefault="007D72F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D90727">
        <w:rPr>
          <w:color w:val="000000"/>
        </w:rPr>
        <w:t xml:space="preserve"> целью определения оптимального способа предварительного связывания </w:t>
      </w:r>
      <w:r w:rsidR="003F7D07">
        <w:rPr>
          <w:color w:val="000000"/>
        </w:rPr>
        <w:t xml:space="preserve">нуклидов </w:t>
      </w:r>
      <w:r w:rsidR="00D90727">
        <w:rPr>
          <w:color w:val="000000"/>
        </w:rPr>
        <w:t xml:space="preserve">исследована кинетика сорбции </w:t>
      </w:r>
      <w:r w:rsidR="00D90727">
        <w:rPr>
          <w:color w:val="000000"/>
          <w:lang w:val="en-US"/>
        </w:rPr>
        <w:t>Cs</w:t>
      </w:r>
      <w:r w:rsidR="00D90727" w:rsidRPr="00D90727">
        <w:rPr>
          <w:color w:val="000000"/>
        </w:rPr>
        <w:t xml:space="preserve"> </w:t>
      </w:r>
      <w:r w:rsidR="00D90727">
        <w:rPr>
          <w:color w:val="000000"/>
        </w:rPr>
        <w:t xml:space="preserve">и </w:t>
      </w:r>
      <w:r w:rsidR="00D90727">
        <w:rPr>
          <w:color w:val="000000"/>
          <w:lang w:val="en-US"/>
        </w:rPr>
        <w:t>Sr</w:t>
      </w:r>
      <w:r w:rsidR="00D90727" w:rsidRPr="00F67951">
        <w:rPr>
          <w:color w:val="000000"/>
        </w:rPr>
        <w:t xml:space="preserve"> </w:t>
      </w:r>
      <w:r w:rsidR="00D90727">
        <w:rPr>
          <w:color w:val="000000"/>
        </w:rPr>
        <w:t xml:space="preserve">на сорбентах Термокисд-3А, Термоксид-35 и Термоксид-3 </w:t>
      </w:r>
      <w:r w:rsidR="00D90727" w:rsidRPr="00D90727">
        <w:rPr>
          <w:color w:val="000000"/>
        </w:rPr>
        <w:t>из растворов-имитатор</w:t>
      </w:r>
      <w:r w:rsidR="005523FF">
        <w:rPr>
          <w:color w:val="000000"/>
        </w:rPr>
        <w:t>ов</w:t>
      </w:r>
      <w:r w:rsidR="00D90727" w:rsidRPr="00D90727">
        <w:rPr>
          <w:color w:val="000000"/>
        </w:rPr>
        <w:t xml:space="preserve"> КФ, содержащих основные химические компоненты КФ (</w:t>
      </w:r>
      <w:r w:rsidR="00D90727">
        <w:rPr>
          <w:color w:val="000000"/>
        </w:rPr>
        <w:t>Т</w:t>
      </w:r>
      <w:r w:rsidR="00D90727" w:rsidRPr="00D90727">
        <w:rPr>
          <w:color w:val="000000"/>
        </w:rPr>
        <w:t>аблица</w:t>
      </w:r>
      <w:r w:rsidR="00D90727">
        <w:rPr>
          <w:color w:val="000000"/>
        </w:rPr>
        <w:t xml:space="preserve"> 1)</w:t>
      </w:r>
      <w:r w:rsidR="00D95CDE">
        <w:rPr>
          <w:color w:val="000000"/>
        </w:rPr>
        <w:t xml:space="preserve"> с добавлением меток</w:t>
      </w:r>
      <w:r w:rsidR="00D90727" w:rsidRPr="00D90727">
        <w:rPr>
          <w:color w:val="000000"/>
        </w:rPr>
        <w:t xml:space="preserve"> </w:t>
      </w:r>
      <w:r w:rsidR="00D90727" w:rsidRPr="00D90727">
        <w:rPr>
          <w:color w:val="000000"/>
          <w:vertAlign w:val="superscript"/>
        </w:rPr>
        <w:t>137</w:t>
      </w:r>
      <w:r w:rsidR="00D90727" w:rsidRPr="00D90727">
        <w:rPr>
          <w:color w:val="000000"/>
        </w:rPr>
        <w:t>Cs – 3,2∙10</w:t>
      </w:r>
      <w:r w:rsidR="00D90727" w:rsidRPr="00D90727">
        <w:rPr>
          <w:color w:val="000000"/>
          <w:vertAlign w:val="superscript"/>
        </w:rPr>
        <w:t>7</w:t>
      </w:r>
      <w:r w:rsidR="00D90727" w:rsidRPr="00D90727">
        <w:rPr>
          <w:color w:val="000000"/>
        </w:rPr>
        <w:t xml:space="preserve"> Бк/л и </w:t>
      </w:r>
      <w:r w:rsidR="00D90727" w:rsidRPr="00D90727">
        <w:rPr>
          <w:color w:val="000000"/>
          <w:vertAlign w:val="superscript"/>
        </w:rPr>
        <w:t>90</w:t>
      </w:r>
      <w:r w:rsidR="00D90727" w:rsidRPr="00D90727">
        <w:rPr>
          <w:color w:val="000000"/>
        </w:rPr>
        <w:t>Sr – 1,5∙10</w:t>
      </w:r>
      <w:r w:rsidR="00D90727" w:rsidRPr="00D90727">
        <w:rPr>
          <w:color w:val="000000"/>
          <w:vertAlign w:val="superscript"/>
        </w:rPr>
        <w:t>7</w:t>
      </w:r>
      <w:r w:rsidR="00D90727" w:rsidRPr="00D90727">
        <w:rPr>
          <w:color w:val="000000"/>
        </w:rPr>
        <w:t xml:space="preserve"> Бк/л</w:t>
      </w:r>
      <w:r w:rsidR="00D90727">
        <w:rPr>
          <w:color w:val="000000"/>
        </w:rPr>
        <w:t>.</w:t>
      </w:r>
      <w:r w:rsidR="00D95CDE">
        <w:rPr>
          <w:color w:val="000000"/>
        </w:rPr>
        <w:t xml:space="preserve"> </w:t>
      </w:r>
    </w:p>
    <w:p w14:paraId="1BE70685" w14:textId="25E6BCBF" w:rsidR="00D90727" w:rsidRPr="0087052A" w:rsidRDefault="00D90727" w:rsidP="00D90727">
      <w:pPr>
        <w:pStyle w:val="ad"/>
        <w:keepNext/>
        <w:rPr>
          <w:i w:val="0"/>
          <w:iCs w:val="0"/>
          <w:color w:val="auto"/>
          <w:sz w:val="24"/>
          <w:szCs w:val="24"/>
        </w:rPr>
      </w:pPr>
      <w:r w:rsidRPr="0087052A">
        <w:rPr>
          <w:i w:val="0"/>
          <w:iCs w:val="0"/>
          <w:color w:val="auto"/>
          <w:sz w:val="24"/>
          <w:szCs w:val="24"/>
        </w:rPr>
        <w:t xml:space="preserve">Таблица </w:t>
      </w:r>
      <w:r w:rsidRPr="0087052A">
        <w:rPr>
          <w:i w:val="0"/>
          <w:iCs w:val="0"/>
          <w:color w:val="auto"/>
          <w:sz w:val="24"/>
          <w:szCs w:val="24"/>
        </w:rPr>
        <w:fldChar w:fldCharType="begin"/>
      </w:r>
      <w:r w:rsidRPr="0087052A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87052A">
        <w:rPr>
          <w:i w:val="0"/>
          <w:iCs w:val="0"/>
          <w:color w:val="auto"/>
          <w:sz w:val="24"/>
          <w:szCs w:val="24"/>
        </w:rPr>
        <w:fldChar w:fldCharType="separate"/>
      </w:r>
      <w:r w:rsidRPr="0087052A">
        <w:rPr>
          <w:i w:val="0"/>
          <w:iCs w:val="0"/>
          <w:noProof/>
          <w:color w:val="auto"/>
          <w:sz w:val="24"/>
          <w:szCs w:val="24"/>
        </w:rPr>
        <w:t>1</w:t>
      </w:r>
      <w:r w:rsidRPr="0087052A">
        <w:rPr>
          <w:i w:val="0"/>
          <w:iCs w:val="0"/>
          <w:color w:val="auto"/>
          <w:sz w:val="24"/>
          <w:szCs w:val="24"/>
        </w:rPr>
        <w:fldChar w:fldCharType="end"/>
      </w:r>
      <w:r w:rsidR="00BA4161" w:rsidRPr="0087052A">
        <w:rPr>
          <w:i w:val="0"/>
          <w:iCs w:val="0"/>
          <w:color w:val="auto"/>
          <w:sz w:val="24"/>
          <w:szCs w:val="24"/>
        </w:rPr>
        <w:t>.</w:t>
      </w:r>
      <w:r w:rsidRPr="0087052A">
        <w:rPr>
          <w:i w:val="0"/>
          <w:iCs w:val="0"/>
          <w:color w:val="auto"/>
          <w:sz w:val="24"/>
          <w:szCs w:val="24"/>
        </w:rPr>
        <w:t xml:space="preserve"> Состав растворов-имитаторов КФ</w:t>
      </w:r>
      <w:r w:rsidR="00166E97" w:rsidRPr="0087052A">
        <w:rPr>
          <w:i w:val="0"/>
          <w:iCs w:val="0"/>
          <w:color w:val="auto"/>
          <w:sz w:val="24"/>
          <w:szCs w:val="24"/>
        </w:rPr>
        <w:t xml:space="preserve"> (г/л)</w:t>
      </w:r>
    </w:p>
    <w:tbl>
      <w:tblPr>
        <w:tblStyle w:val="ac"/>
        <w:tblW w:w="4980" w:type="pct"/>
        <w:tblLook w:val="04A0" w:firstRow="1" w:lastRow="0" w:firstColumn="1" w:lastColumn="0" w:noHBand="0" w:noVBand="1"/>
      </w:tblPr>
      <w:tblGrid>
        <w:gridCol w:w="1665"/>
        <w:gridCol w:w="603"/>
        <w:gridCol w:w="769"/>
        <w:gridCol w:w="817"/>
        <w:gridCol w:w="841"/>
        <w:gridCol w:w="841"/>
        <w:gridCol w:w="2430"/>
        <w:gridCol w:w="1171"/>
      </w:tblGrid>
      <w:tr w:rsidR="00D90727" w:rsidRPr="00D90727" w14:paraId="5A29F1EA" w14:textId="77777777" w:rsidTr="00A05A3A">
        <w:trPr>
          <w:trHeight w:val="256"/>
        </w:trPr>
        <w:tc>
          <w:tcPr>
            <w:tcW w:w="911" w:type="pct"/>
          </w:tcPr>
          <w:p w14:paraId="330B9B90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t>№ раствора</w:t>
            </w:r>
          </w:p>
        </w:tc>
        <w:tc>
          <w:tcPr>
            <w:tcW w:w="330" w:type="pct"/>
          </w:tcPr>
          <w:p w14:paraId="5F5BAD44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Cs</w:t>
            </w:r>
            <w:r w:rsidRPr="00D90727">
              <w:rPr>
                <w:vertAlign w:val="superscript"/>
                <w:lang w:val="en-US"/>
              </w:rPr>
              <w:t>+</w:t>
            </w:r>
          </w:p>
        </w:tc>
        <w:tc>
          <w:tcPr>
            <w:tcW w:w="421" w:type="pct"/>
          </w:tcPr>
          <w:p w14:paraId="5B12EE41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Sr</w:t>
            </w:r>
            <w:r w:rsidRPr="00D90727">
              <w:rPr>
                <w:vertAlign w:val="superscript"/>
                <w:lang w:val="en-US"/>
              </w:rPr>
              <w:t>2+</w:t>
            </w:r>
          </w:p>
        </w:tc>
        <w:tc>
          <w:tcPr>
            <w:tcW w:w="447" w:type="pct"/>
          </w:tcPr>
          <w:p w14:paraId="004B2AAE" w14:textId="77777777" w:rsidR="00D90727" w:rsidRPr="00D90727" w:rsidRDefault="00D90727" w:rsidP="00D90727">
            <w:pPr>
              <w:contextualSpacing/>
              <w:jc w:val="center"/>
              <w:rPr>
                <w:vertAlign w:val="superscript"/>
                <w:lang w:val="en-US"/>
              </w:rPr>
            </w:pPr>
            <w:r w:rsidRPr="00D90727">
              <w:rPr>
                <w:lang w:val="en-US"/>
              </w:rPr>
              <w:t>Na</w:t>
            </w:r>
            <w:r w:rsidRPr="00D90727">
              <w:rPr>
                <w:vertAlign w:val="superscript"/>
                <w:lang w:val="en-US"/>
              </w:rPr>
              <w:t>+</w:t>
            </w:r>
          </w:p>
        </w:tc>
        <w:tc>
          <w:tcPr>
            <w:tcW w:w="460" w:type="pct"/>
          </w:tcPr>
          <w:p w14:paraId="5EB0FA60" w14:textId="77777777" w:rsidR="00D90727" w:rsidRPr="00D90727" w:rsidRDefault="00D90727" w:rsidP="00D90727">
            <w:pPr>
              <w:contextualSpacing/>
              <w:jc w:val="center"/>
              <w:rPr>
                <w:vertAlign w:val="superscript"/>
                <w:lang w:val="en-US"/>
              </w:rPr>
            </w:pPr>
            <w:r w:rsidRPr="00D90727">
              <w:rPr>
                <w:lang w:val="en-US"/>
              </w:rPr>
              <w:t>Ca</w:t>
            </w:r>
            <w:r w:rsidRPr="00D90727">
              <w:rPr>
                <w:vertAlign w:val="superscript"/>
                <w:lang w:val="en-US"/>
              </w:rPr>
              <w:t>2+</w:t>
            </w:r>
          </w:p>
        </w:tc>
        <w:tc>
          <w:tcPr>
            <w:tcW w:w="460" w:type="pct"/>
          </w:tcPr>
          <w:p w14:paraId="46821250" w14:textId="77777777" w:rsidR="00D90727" w:rsidRPr="00D90727" w:rsidRDefault="00D90727" w:rsidP="00D90727">
            <w:pPr>
              <w:contextualSpacing/>
              <w:jc w:val="center"/>
              <w:rPr>
                <w:vertAlign w:val="superscript"/>
                <w:lang w:val="en-US"/>
              </w:rPr>
            </w:pPr>
            <w:r w:rsidRPr="00D90727">
              <w:rPr>
                <w:lang w:val="en-US"/>
              </w:rPr>
              <w:t>Ba</w:t>
            </w:r>
            <w:r w:rsidRPr="00D90727">
              <w:rPr>
                <w:vertAlign w:val="superscript"/>
                <w:lang w:val="en-US"/>
              </w:rPr>
              <w:t>2+</w:t>
            </w:r>
          </w:p>
        </w:tc>
        <w:tc>
          <w:tcPr>
            <w:tcW w:w="1330" w:type="pct"/>
          </w:tcPr>
          <w:p w14:paraId="07055C56" w14:textId="255CC81D" w:rsidR="00D90727" w:rsidRPr="00D90727" w:rsidRDefault="00D90727" w:rsidP="00D90727">
            <w:pPr>
              <w:contextualSpacing/>
              <w:jc w:val="center"/>
            </w:pPr>
            <w:r>
              <w:t>В</w:t>
            </w:r>
            <w:r w:rsidRPr="00D90727">
              <w:t>водимая метка</w:t>
            </w:r>
          </w:p>
        </w:tc>
        <w:tc>
          <w:tcPr>
            <w:tcW w:w="641" w:type="pct"/>
          </w:tcPr>
          <w:p w14:paraId="73B3F77A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t>рН</w:t>
            </w:r>
          </w:p>
        </w:tc>
      </w:tr>
      <w:tr w:rsidR="00D90727" w:rsidRPr="00D90727" w14:paraId="5D36E962" w14:textId="77777777" w:rsidTr="009B2E50">
        <w:trPr>
          <w:trHeight w:val="295"/>
        </w:trPr>
        <w:tc>
          <w:tcPr>
            <w:tcW w:w="911" w:type="pct"/>
          </w:tcPr>
          <w:p w14:paraId="16327BBF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I</w:t>
            </w:r>
          </w:p>
        </w:tc>
        <w:tc>
          <w:tcPr>
            <w:tcW w:w="330" w:type="pct"/>
          </w:tcPr>
          <w:p w14:paraId="29C20AC8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rPr>
                <w:lang w:val="en-US"/>
              </w:rPr>
              <w:t>3</w:t>
            </w:r>
            <w:r w:rsidRPr="00D90727">
              <w:t>,7</w:t>
            </w:r>
          </w:p>
        </w:tc>
        <w:tc>
          <w:tcPr>
            <w:tcW w:w="421" w:type="pct"/>
          </w:tcPr>
          <w:p w14:paraId="14245D92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t>-</w:t>
            </w:r>
          </w:p>
        </w:tc>
        <w:tc>
          <w:tcPr>
            <w:tcW w:w="447" w:type="pct"/>
          </w:tcPr>
          <w:p w14:paraId="52266562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t>0,01</w:t>
            </w:r>
          </w:p>
        </w:tc>
        <w:tc>
          <w:tcPr>
            <w:tcW w:w="460" w:type="pct"/>
          </w:tcPr>
          <w:p w14:paraId="260C350C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t>-</w:t>
            </w:r>
          </w:p>
        </w:tc>
        <w:tc>
          <w:tcPr>
            <w:tcW w:w="460" w:type="pct"/>
          </w:tcPr>
          <w:p w14:paraId="3D5BDC09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t>-</w:t>
            </w:r>
          </w:p>
        </w:tc>
        <w:tc>
          <w:tcPr>
            <w:tcW w:w="1330" w:type="pct"/>
          </w:tcPr>
          <w:p w14:paraId="08151479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vertAlign w:val="superscript"/>
              </w:rPr>
              <w:t>137</w:t>
            </w:r>
            <w:r w:rsidRPr="00D90727">
              <w:t>С</w:t>
            </w:r>
            <w:r w:rsidRPr="00D90727">
              <w:rPr>
                <w:lang w:val="en-US"/>
              </w:rPr>
              <w:t>s</w:t>
            </w:r>
          </w:p>
        </w:tc>
        <w:tc>
          <w:tcPr>
            <w:tcW w:w="641" w:type="pct"/>
          </w:tcPr>
          <w:p w14:paraId="2BBF1936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t>5,4</w:t>
            </w:r>
          </w:p>
        </w:tc>
      </w:tr>
      <w:tr w:rsidR="00D90727" w:rsidRPr="00D90727" w14:paraId="3717E2B7" w14:textId="77777777" w:rsidTr="009B2E50">
        <w:trPr>
          <w:trHeight w:val="303"/>
        </w:trPr>
        <w:tc>
          <w:tcPr>
            <w:tcW w:w="911" w:type="pct"/>
          </w:tcPr>
          <w:p w14:paraId="1EA43A5B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II</w:t>
            </w:r>
          </w:p>
        </w:tc>
        <w:tc>
          <w:tcPr>
            <w:tcW w:w="330" w:type="pct"/>
          </w:tcPr>
          <w:p w14:paraId="1D5F822A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-</w:t>
            </w:r>
          </w:p>
        </w:tc>
        <w:tc>
          <w:tcPr>
            <w:tcW w:w="421" w:type="pct"/>
          </w:tcPr>
          <w:p w14:paraId="74113536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1,2</w:t>
            </w:r>
          </w:p>
        </w:tc>
        <w:tc>
          <w:tcPr>
            <w:tcW w:w="447" w:type="pct"/>
          </w:tcPr>
          <w:p w14:paraId="53333C0C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-</w:t>
            </w:r>
          </w:p>
        </w:tc>
        <w:tc>
          <w:tcPr>
            <w:tcW w:w="460" w:type="pct"/>
          </w:tcPr>
          <w:p w14:paraId="6F9373B2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0,2</w:t>
            </w:r>
          </w:p>
        </w:tc>
        <w:tc>
          <w:tcPr>
            <w:tcW w:w="460" w:type="pct"/>
          </w:tcPr>
          <w:p w14:paraId="06CA5D9E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0,6</w:t>
            </w:r>
          </w:p>
        </w:tc>
        <w:tc>
          <w:tcPr>
            <w:tcW w:w="1330" w:type="pct"/>
          </w:tcPr>
          <w:p w14:paraId="1C7623BC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vertAlign w:val="superscript"/>
              </w:rPr>
              <w:t>90</w:t>
            </w:r>
            <w:r w:rsidRPr="00D90727">
              <w:rPr>
                <w:lang w:val="en-US"/>
              </w:rPr>
              <w:t>Sr(</w:t>
            </w:r>
            <w:r w:rsidRPr="00D90727">
              <w:rPr>
                <w:vertAlign w:val="superscript"/>
                <w:lang w:val="en-US"/>
              </w:rPr>
              <w:t>90</w:t>
            </w:r>
            <w:r w:rsidRPr="00D90727">
              <w:rPr>
                <w:lang w:val="en-US"/>
              </w:rPr>
              <w:t>Y)</w:t>
            </w:r>
          </w:p>
        </w:tc>
        <w:tc>
          <w:tcPr>
            <w:tcW w:w="641" w:type="pct"/>
          </w:tcPr>
          <w:p w14:paraId="7B4592A6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t>5,5</w:t>
            </w:r>
          </w:p>
        </w:tc>
      </w:tr>
      <w:tr w:rsidR="00D90727" w:rsidRPr="00D90727" w14:paraId="6CDD874D" w14:textId="77777777" w:rsidTr="009B2E50">
        <w:trPr>
          <w:trHeight w:val="303"/>
        </w:trPr>
        <w:tc>
          <w:tcPr>
            <w:tcW w:w="911" w:type="pct"/>
          </w:tcPr>
          <w:p w14:paraId="2A615C6D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III</w:t>
            </w:r>
          </w:p>
        </w:tc>
        <w:tc>
          <w:tcPr>
            <w:tcW w:w="330" w:type="pct"/>
          </w:tcPr>
          <w:p w14:paraId="7423822F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rPr>
                <w:lang w:val="en-US"/>
              </w:rPr>
              <w:t>3</w:t>
            </w:r>
            <w:r w:rsidRPr="00D90727">
              <w:t>,7</w:t>
            </w:r>
          </w:p>
        </w:tc>
        <w:tc>
          <w:tcPr>
            <w:tcW w:w="421" w:type="pct"/>
          </w:tcPr>
          <w:p w14:paraId="114634F2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1,2</w:t>
            </w:r>
          </w:p>
        </w:tc>
        <w:tc>
          <w:tcPr>
            <w:tcW w:w="447" w:type="pct"/>
          </w:tcPr>
          <w:p w14:paraId="4D69E2BB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0,01</w:t>
            </w:r>
          </w:p>
        </w:tc>
        <w:tc>
          <w:tcPr>
            <w:tcW w:w="460" w:type="pct"/>
          </w:tcPr>
          <w:p w14:paraId="722C1053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0,2</w:t>
            </w:r>
          </w:p>
        </w:tc>
        <w:tc>
          <w:tcPr>
            <w:tcW w:w="460" w:type="pct"/>
          </w:tcPr>
          <w:p w14:paraId="1F7B2BAD" w14:textId="77777777" w:rsidR="00D90727" w:rsidRPr="00D90727" w:rsidRDefault="00D90727" w:rsidP="00D90727">
            <w:pPr>
              <w:contextualSpacing/>
              <w:jc w:val="center"/>
              <w:rPr>
                <w:lang w:val="en-US"/>
              </w:rPr>
            </w:pPr>
            <w:r w:rsidRPr="00D90727">
              <w:rPr>
                <w:lang w:val="en-US"/>
              </w:rPr>
              <w:t>0,6</w:t>
            </w:r>
          </w:p>
        </w:tc>
        <w:tc>
          <w:tcPr>
            <w:tcW w:w="1330" w:type="pct"/>
          </w:tcPr>
          <w:p w14:paraId="53475880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rPr>
                <w:vertAlign w:val="superscript"/>
              </w:rPr>
              <w:t>137</w:t>
            </w:r>
            <w:r w:rsidRPr="00D90727">
              <w:t>С</w:t>
            </w:r>
            <w:r w:rsidRPr="00D90727">
              <w:rPr>
                <w:lang w:val="en-US"/>
              </w:rPr>
              <w:t xml:space="preserve">s; </w:t>
            </w:r>
            <w:r w:rsidRPr="00D90727">
              <w:rPr>
                <w:vertAlign w:val="superscript"/>
              </w:rPr>
              <w:t>90</w:t>
            </w:r>
            <w:r w:rsidRPr="00D90727">
              <w:rPr>
                <w:lang w:val="en-US"/>
              </w:rPr>
              <w:t>Sr(</w:t>
            </w:r>
            <w:r w:rsidRPr="00D90727">
              <w:rPr>
                <w:vertAlign w:val="superscript"/>
                <w:lang w:val="en-US"/>
              </w:rPr>
              <w:t>90</w:t>
            </w:r>
            <w:r w:rsidRPr="00D90727">
              <w:rPr>
                <w:lang w:val="en-US"/>
              </w:rPr>
              <w:t>Y)</w:t>
            </w:r>
          </w:p>
        </w:tc>
        <w:tc>
          <w:tcPr>
            <w:tcW w:w="641" w:type="pct"/>
          </w:tcPr>
          <w:p w14:paraId="731AF95E" w14:textId="77777777" w:rsidR="00D90727" w:rsidRPr="00D90727" w:rsidRDefault="00D90727" w:rsidP="00D90727">
            <w:pPr>
              <w:contextualSpacing/>
              <w:jc w:val="center"/>
            </w:pPr>
            <w:r w:rsidRPr="00D90727">
              <w:t>5,8</w:t>
            </w:r>
          </w:p>
        </w:tc>
      </w:tr>
    </w:tbl>
    <w:p w14:paraId="282B8EF6" w14:textId="1842CD89" w:rsidR="00D95CDE" w:rsidRPr="00D95CDE" w:rsidRDefault="00A05A3A" w:rsidP="00F67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Определено</w:t>
      </w:r>
      <w:r w:rsidR="00D95CDE">
        <w:rPr>
          <w:color w:val="000000"/>
        </w:rPr>
        <w:t>, что н</w:t>
      </w:r>
      <w:r w:rsidR="00D95CDE" w:rsidRPr="00D95CDE">
        <w:rPr>
          <w:color w:val="000000"/>
        </w:rPr>
        <w:t xml:space="preserve">аиболее эффективным сорбентом для </w:t>
      </w:r>
      <w:r w:rsidR="00D95CDE">
        <w:rPr>
          <w:color w:val="000000"/>
          <w:lang w:val="en-US"/>
        </w:rPr>
        <w:t>Cs</w:t>
      </w:r>
      <w:r w:rsidR="00D95CDE" w:rsidRPr="00D95CDE">
        <w:rPr>
          <w:color w:val="000000"/>
        </w:rPr>
        <w:t xml:space="preserve"> в присутствии </w:t>
      </w:r>
      <w:r w:rsidR="00D95CDE">
        <w:rPr>
          <w:color w:val="000000"/>
          <w:lang w:val="en-US"/>
        </w:rPr>
        <w:t>Na</w:t>
      </w:r>
      <w:r w:rsidR="00D95CDE" w:rsidRPr="00D95CDE">
        <w:rPr>
          <w:color w:val="000000"/>
        </w:rPr>
        <w:t xml:space="preserve"> является Термоксид-35, для </w:t>
      </w:r>
      <w:r w:rsidR="00D95CDE">
        <w:rPr>
          <w:color w:val="000000"/>
          <w:lang w:val="en-US"/>
        </w:rPr>
        <w:t>Sr</w:t>
      </w:r>
      <w:r w:rsidR="00D95CDE" w:rsidRPr="00D95CDE">
        <w:rPr>
          <w:color w:val="000000"/>
        </w:rPr>
        <w:t xml:space="preserve"> в присутствии </w:t>
      </w:r>
      <w:r w:rsidR="00D95CDE">
        <w:rPr>
          <w:color w:val="000000"/>
          <w:lang w:val="en-US"/>
        </w:rPr>
        <w:t>Ba</w:t>
      </w:r>
      <w:r w:rsidR="00D95CDE" w:rsidRPr="00D95CDE">
        <w:rPr>
          <w:color w:val="000000"/>
        </w:rPr>
        <w:t xml:space="preserve"> и </w:t>
      </w:r>
      <w:r w:rsidR="00D95CDE">
        <w:rPr>
          <w:color w:val="000000"/>
          <w:lang w:val="en-US"/>
        </w:rPr>
        <w:t>Ca</w:t>
      </w:r>
      <w:r w:rsidR="00D95CDE" w:rsidRPr="00D95CDE">
        <w:rPr>
          <w:color w:val="000000"/>
        </w:rPr>
        <w:t xml:space="preserve"> – Термоксид-3А, которые также показали высокие значения сорбции и для смеси всех исследуемых ионов </w:t>
      </w:r>
      <w:r w:rsidR="00D95CDE">
        <w:rPr>
          <w:color w:val="000000"/>
        </w:rPr>
        <w:t xml:space="preserve">(раствор </w:t>
      </w:r>
      <w:r w:rsidR="00D95CDE">
        <w:rPr>
          <w:color w:val="000000"/>
          <w:lang w:val="en-US"/>
        </w:rPr>
        <w:t>III</w:t>
      </w:r>
      <w:r w:rsidR="00D95CDE" w:rsidRPr="00D95CDE">
        <w:rPr>
          <w:color w:val="000000"/>
        </w:rPr>
        <w:t>).</w:t>
      </w:r>
      <w:r w:rsidR="00D95CDE">
        <w:rPr>
          <w:color w:val="000000"/>
        </w:rPr>
        <w:t xml:space="preserve"> </w:t>
      </w:r>
      <w:r w:rsidR="00A51F5E">
        <w:rPr>
          <w:color w:val="000000"/>
        </w:rPr>
        <w:t>Данные сорбенты и были выбраны для дальнейшего включения в матричный компаунд</w:t>
      </w:r>
      <w:r w:rsidR="00116E30">
        <w:rPr>
          <w:color w:val="000000"/>
        </w:rPr>
        <w:t>.</w:t>
      </w:r>
    </w:p>
    <w:p w14:paraId="6CF66D05" w14:textId="165A1A63" w:rsidR="00F67951" w:rsidRPr="005523FF" w:rsidRDefault="00F67951" w:rsidP="00F67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F67951">
        <w:rPr>
          <w:color w:val="000000"/>
        </w:rPr>
        <w:t>Синтез образцов МКФ компаунда, содержащего</w:t>
      </w:r>
      <w:r w:rsidR="00A51F5E">
        <w:rPr>
          <w:color w:val="000000"/>
        </w:rPr>
        <w:t xml:space="preserve"> 10, 15 или 20</w:t>
      </w:r>
      <w:r w:rsidR="00A51F5E" w:rsidRPr="00A51F5E">
        <w:rPr>
          <w:color w:val="000000"/>
        </w:rPr>
        <w:t xml:space="preserve">% </w:t>
      </w:r>
      <w:r w:rsidR="00A51F5E">
        <w:rPr>
          <w:color w:val="000000"/>
        </w:rPr>
        <w:t>масс. имитатора отхода</w:t>
      </w:r>
      <w:r w:rsidRPr="00F67951">
        <w:rPr>
          <w:color w:val="000000"/>
        </w:rPr>
        <w:t xml:space="preserve"> </w:t>
      </w:r>
      <w:r w:rsidR="00A51F5E">
        <w:rPr>
          <w:color w:val="000000"/>
        </w:rPr>
        <w:t>(</w:t>
      </w:r>
      <w:r w:rsidRPr="00F67951">
        <w:rPr>
          <w:color w:val="000000"/>
        </w:rPr>
        <w:t>сорбент с предварительно сорбированными Cs и Sr</w:t>
      </w:r>
      <w:r w:rsidR="00A51F5E">
        <w:rPr>
          <w:color w:val="000000"/>
        </w:rPr>
        <w:t xml:space="preserve">) и 20% масс. волластонита </w:t>
      </w:r>
      <w:r w:rsidR="00A51F5E" w:rsidRPr="00A51F5E">
        <w:rPr>
          <w:color w:val="000000"/>
        </w:rPr>
        <w:t>(</w:t>
      </w:r>
      <w:r w:rsidR="00A51F5E">
        <w:rPr>
          <w:color w:val="000000"/>
          <w:lang w:val="en-US"/>
        </w:rPr>
        <w:t>CaSiO</w:t>
      </w:r>
      <w:r w:rsidR="00A51F5E" w:rsidRPr="00A51F5E">
        <w:rPr>
          <w:color w:val="000000"/>
          <w:vertAlign w:val="subscript"/>
        </w:rPr>
        <w:t>3</w:t>
      </w:r>
      <w:r w:rsidR="00A51F5E" w:rsidRPr="00A51F5E">
        <w:rPr>
          <w:color w:val="000000"/>
        </w:rPr>
        <w:t>)</w:t>
      </w:r>
      <w:r w:rsidR="00A51F5E">
        <w:rPr>
          <w:color w:val="000000"/>
        </w:rPr>
        <w:t>,</w:t>
      </w:r>
      <w:r w:rsidRPr="00F67951">
        <w:rPr>
          <w:color w:val="000000"/>
        </w:rPr>
        <w:t xml:space="preserve"> проводили в соответствии с реакцией (1) </w:t>
      </w:r>
      <w:r>
        <w:rPr>
          <w:color w:val="000000"/>
        </w:rPr>
        <w:t xml:space="preserve">в массовом соотношении </w:t>
      </w:r>
      <m:oMath>
        <m:r>
          <w:rPr>
            <w:rFonts w:ascii="Cambria Math" w:hAnsi="Cambria Math"/>
            <w:color w:val="000000"/>
            <w:lang w:val="cs-CZ"/>
          </w:rPr>
          <m:t>MgO</m:t>
        </m:r>
        <m:r>
          <w:rPr>
            <w:rFonts w:ascii="Cambria Math" w:hAnsi="Cambria Math"/>
            <w:color w:val="000000"/>
          </w:rPr>
          <m:t>: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cs-CZ"/>
              </w:rPr>
            </m:ctrlPr>
          </m:sSubPr>
          <m:e>
            <m:r>
              <w:rPr>
                <w:rFonts w:ascii="Cambria Math" w:hAnsi="Cambria Math"/>
                <w:color w:val="000000"/>
                <w:lang w:val="cs-CZ"/>
              </w:rPr>
              <m:t>H</m:t>
            </m:r>
          </m:e>
          <m:sub>
            <m:r>
              <w:rPr>
                <w:rFonts w:ascii="Cambria Math" w:hAnsi="Cambria Math"/>
                <w:color w:val="000000"/>
                <w:lang w:val="cs-CZ"/>
              </w:rPr>
              <m:t>2</m:t>
            </m:r>
          </m:sub>
        </m:sSub>
        <m:r>
          <w:rPr>
            <w:rFonts w:ascii="Cambria Math" w:hAnsi="Cambria Math"/>
            <w:color w:val="000000"/>
            <w:lang w:val="en-US"/>
          </w:rPr>
          <m:t>O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cs-CZ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:</m:t>
            </m:r>
            <m:r>
              <w:rPr>
                <w:rFonts w:ascii="Cambria Math" w:hAnsi="Cambria Math"/>
                <w:color w:val="000000"/>
                <w:lang w:val="cs-CZ"/>
              </w:rPr>
              <m:t>KH</m:t>
            </m:r>
          </m:e>
          <m:sub>
            <m:r>
              <w:rPr>
                <w:rFonts w:ascii="Cambria Math" w:hAnsi="Cambria Math"/>
                <w:color w:val="000000"/>
                <w:lang w:val="cs-C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cs-CZ"/>
              </w:rPr>
            </m:ctrlPr>
          </m:sSubPr>
          <m:e>
            <m:r>
              <w:rPr>
                <w:rFonts w:ascii="Cambria Math" w:hAnsi="Cambria Math"/>
                <w:color w:val="000000"/>
                <w:lang w:val="cs-CZ"/>
              </w:rPr>
              <m:t>PO</m:t>
            </m:r>
          </m:e>
          <m:sub>
            <m:r>
              <w:rPr>
                <w:rFonts w:ascii="Cambria Math" w:hAnsi="Cambria Math"/>
                <w:color w:val="000000"/>
                <w:lang w:val="cs-CZ"/>
              </w:rPr>
              <m:t>4</m:t>
            </m:r>
          </m:sub>
        </m:sSub>
        <m:r>
          <w:rPr>
            <w:rFonts w:ascii="Cambria Math" w:hAnsi="Cambria Math"/>
            <w:color w:val="000000"/>
          </w:rPr>
          <m:t>=1:2:3</m:t>
        </m:r>
      </m:oMath>
      <w:r w:rsidR="00201A27" w:rsidRPr="00201A27">
        <w:rPr>
          <w:iCs/>
          <w:color w:val="000000"/>
        </w:rPr>
        <w:t>[</w:t>
      </w:r>
      <w:r w:rsidR="003F7D07">
        <w:rPr>
          <w:iCs/>
          <w:color w:val="000000"/>
        </w:rPr>
        <w:t>2</w:t>
      </w:r>
      <w:r w:rsidR="00201A27" w:rsidRPr="00201A27">
        <w:rPr>
          <w:iCs/>
          <w:color w:val="000000"/>
        </w:rPr>
        <w:t>]</w:t>
      </w:r>
      <w:r w:rsidR="005523FF">
        <w:rPr>
          <w:iCs/>
          <w:color w:val="000000"/>
        </w:rPr>
        <w:t>.</w:t>
      </w:r>
    </w:p>
    <w:p w14:paraId="1744A7EB" w14:textId="722E155C" w:rsidR="00F67951" w:rsidRDefault="00F67951" w:rsidP="00F67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m:oMath>
        <m:r>
          <w:rPr>
            <w:rFonts w:ascii="Cambria Math" w:hAnsi="Cambria Math"/>
            <w:color w:val="000000"/>
            <w:lang w:val="cs-CZ"/>
          </w:rPr>
          <m:t>MgO + 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cs-CZ"/>
              </w:rPr>
            </m:ctrlPr>
          </m:sSubPr>
          <m:e>
            <m:r>
              <w:rPr>
                <w:rFonts w:ascii="Cambria Math" w:hAnsi="Cambria Math"/>
                <w:color w:val="000000"/>
                <w:lang w:val="cs-CZ"/>
              </w:rPr>
              <m:t>KH</m:t>
            </m:r>
          </m:e>
          <m:sub>
            <m:r>
              <w:rPr>
                <w:rFonts w:ascii="Cambria Math" w:hAnsi="Cambria Math"/>
                <w:color w:val="000000"/>
                <w:lang w:val="cs-C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cs-CZ"/>
              </w:rPr>
            </m:ctrlPr>
          </m:sSubPr>
          <m:e>
            <m:r>
              <w:rPr>
                <w:rFonts w:ascii="Cambria Math" w:hAnsi="Cambria Math"/>
                <w:color w:val="000000"/>
                <w:lang w:val="cs-CZ"/>
              </w:rPr>
              <m:t>PO</m:t>
            </m:r>
          </m:e>
          <m:sub>
            <m:r>
              <w:rPr>
                <w:rFonts w:ascii="Cambria Math" w:hAnsi="Cambria Math"/>
                <w:color w:val="000000"/>
                <w:lang w:val="cs-CZ"/>
              </w:rPr>
              <m:t>4</m:t>
            </m:r>
          </m:sub>
        </m:sSub>
        <m:r>
          <w:rPr>
            <w:rFonts w:ascii="Cambria Math" w:hAnsi="Cambria Math"/>
            <w:color w:val="000000"/>
          </w:rPr>
          <m:t>+</m:t>
        </m:r>
        <m:r>
          <w:rPr>
            <w:rFonts w:ascii="Cambria Math" w:hAnsi="Cambria Math"/>
            <w:color w:val="000000"/>
            <w:lang w:val="cs-CZ"/>
          </w:rPr>
          <m:t> 5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cs-CZ"/>
              </w:rPr>
            </m:ctrlPr>
          </m:sSubPr>
          <m:e>
            <m:r>
              <w:rPr>
                <w:rFonts w:ascii="Cambria Math" w:hAnsi="Cambria Math"/>
                <w:color w:val="000000"/>
                <w:lang w:val="cs-CZ"/>
              </w:rPr>
              <m:t>H</m:t>
            </m:r>
          </m:e>
          <m:sub>
            <m:r>
              <w:rPr>
                <w:rFonts w:ascii="Cambria Math" w:hAnsi="Cambria Math"/>
                <w:color w:val="000000"/>
                <w:lang w:val="cs-CZ"/>
              </w:rPr>
              <m:t>2</m:t>
            </m:r>
          </m:sub>
        </m:sSub>
        <m:r>
          <w:rPr>
            <w:rFonts w:ascii="Cambria Math" w:hAnsi="Cambria Math"/>
            <w:color w:val="000000"/>
            <w:lang w:val="cs-CZ"/>
          </w:rPr>
          <m:t>O→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cs-CZ"/>
              </w:rPr>
            </m:ctrlPr>
          </m:sSubPr>
          <m:e>
            <m:r>
              <w:rPr>
                <w:rFonts w:ascii="Cambria Math" w:hAnsi="Cambria Math"/>
                <w:color w:val="000000"/>
                <w:lang w:val="cs-CZ"/>
              </w:rPr>
              <m:t>MgKPO</m:t>
            </m:r>
          </m:e>
          <m:sub>
            <m:r>
              <w:rPr>
                <w:rFonts w:ascii="Cambria Math" w:hAnsi="Cambria Math"/>
                <w:color w:val="000000"/>
                <w:lang w:val="cs-CZ"/>
              </w:rPr>
              <m:t>4</m:t>
            </m:r>
          </m:sub>
        </m:sSub>
        <m:r>
          <w:rPr>
            <w:rFonts w:ascii="Cambria Math" w:hAnsi="Cambria Math"/>
            <w:color w:val="000000"/>
            <w:lang w:val="cs-CZ"/>
          </w:rPr>
          <m:t> ∙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  <w:lang w:val="cs-CZ"/>
              </w:rPr>
            </m:ctrlPr>
          </m:sSubPr>
          <m:e>
            <m:r>
              <w:rPr>
                <w:rFonts w:ascii="Cambria Math" w:hAnsi="Cambria Math"/>
                <w:color w:val="000000"/>
                <w:lang w:val="cs-CZ"/>
              </w:rPr>
              <m:t>6H</m:t>
            </m:r>
          </m:e>
          <m:sub>
            <m:r>
              <w:rPr>
                <w:rFonts w:ascii="Cambria Math" w:hAnsi="Cambria Math"/>
                <w:color w:val="000000"/>
                <w:lang w:val="cs-CZ"/>
              </w:rPr>
              <m:t>2</m:t>
            </m:r>
          </m:sub>
        </m:sSub>
        <m:r>
          <w:rPr>
            <w:rFonts w:ascii="Cambria Math" w:hAnsi="Cambria Math"/>
            <w:color w:val="000000"/>
            <w:lang w:val="cs-CZ"/>
          </w:rPr>
          <m:t>O </m:t>
        </m:r>
      </m:oMath>
      <w:r>
        <w:rPr>
          <w:iCs/>
          <w:color w:val="000000"/>
        </w:rPr>
        <w:t xml:space="preserve"> </w:t>
      </w:r>
      <w:r>
        <w:rPr>
          <w:iCs/>
          <w:color w:val="000000"/>
          <w:lang w:val="cs-CZ"/>
        </w:rPr>
        <w:t>(1)</w:t>
      </w:r>
    </w:p>
    <w:p w14:paraId="1C623247" w14:textId="7DA1994D" w:rsidR="005523FF" w:rsidRPr="005523FF" w:rsidRDefault="00A05A3A" w:rsidP="00F679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М</w:t>
      </w:r>
      <w:r w:rsidR="005523FF" w:rsidRPr="005523FF">
        <w:rPr>
          <w:iCs/>
          <w:color w:val="000000"/>
        </w:rPr>
        <w:t>етодом порошковой рентгеновской дифрактометрии (РД)</w:t>
      </w:r>
      <w:r>
        <w:rPr>
          <w:iCs/>
          <w:color w:val="000000"/>
        </w:rPr>
        <w:t xml:space="preserve"> фазовый состав полученных </w:t>
      </w:r>
      <w:r w:rsidR="008F3518">
        <w:rPr>
          <w:iCs/>
          <w:color w:val="000000"/>
        </w:rPr>
        <w:t>компаундов</w:t>
      </w:r>
      <w:r>
        <w:rPr>
          <w:iCs/>
          <w:color w:val="000000"/>
        </w:rPr>
        <w:t xml:space="preserve">. Установлено, что </w:t>
      </w:r>
      <w:r w:rsidRPr="00A05A3A">
        <w:rPr>
          <w:iCs/>
          <w:color w:val="000000"/>
        </w:rPr>
        <w:t>что основной кристаллической фазой всех изученных образцов является целевая фаза МКФ матрицы гексагидрат фосфата магния-калия</w:t>
      </w:r>
      <w:r>
        <w:rPr>
          <w:iCs/>
          <w:color w:val="000000"/>
        </w:rPr>
        <w:t>.</w:t>
      </w:r>
    </w:p>
    <w:p w14:paraId="2A76599A" w14:textId="3108718A" w:rsidR="00CA38A1" w:rsidRDefault="00F67951" w:rsidP="007A64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"/>
        <w:jc w:val="both"/>
      </w:pPr>
      <w:r w:rsidRPr="00CB103B">
        <w:t xml:space="preserve">Для проверки на соответствие требованиям, предъявляемым к данному классу РАО согласно НП-019-15, синтезированные </w:t>
      </w:r>
      <w:r w:rsidR="008F3518">
        <w:t>образцы</w:t>
      </w:r>
      <w:r w:rsidR="007A64D2">
        <w:t xml:space="preserve"> </w:t>
      </w:r>
      <w:r w:rsidRPr="00CB103B">
        <w:t>исследованы на механическую прочность</w:t>
      </w:r>
      <w:r w:rsidR="007A64D2">
        <w:t xml:space="preserve"> (</w:t>
      </w:r>
      <w:r w:rsidR="007A64D2" w:rsidRPr="007A64D2">
        <w:t>в соответствии с ГОСТ 310.4-81</w:t>
      </w:r>
      <w:r w:rsidR="008F3518">
        <w:t xml:space="preserve">) </w:t>
      </w:r>
      <w:r>
        <w:t>термическую</w:t>
      </w:r>
      <w:r w:rsidR="007A64D2">
        <w:t xml:space="preserve"> (</w:t>
      </w:r>
      <w:r w:rsidR="007A64D2">
        <w:rPr>
          <w:lang w:bidi="en-US"/>
        </w:rPr>
        <w:t>после термообработки при 180, 270 и 450</w:t>
      </w:r>
      <w:r w:rsidR="007A64D2" w:rsidRPr="007A64D2">
        <w:rPr>
          <w:lang w:bidi="en-US"/>
        </w:rPr>
        <w:t>°С</w:t>
      </w:r>
      <w:r w:rsidR="007A64D2">
        <w:t xml:space="preserve">) и гидролитическую (согласно </w:t>
      </w:r>
      <w:r w:rsidR="007A64D2" w:rsidRPr="007A64D2">
        <w:t>ГОСТ Р 52126-2003</w:t>
      </w:r>
      <w:r w:rsidR="007A64D2">
        <w:t xml:space="preserve">) </w:t>
      </w:r>
      <w:r>
        <w:t>устойчивость</w:t>
      </w:r>
      <w:r w:rsidR="00D95CDE">
        <w:t>.</w:t>
      </w:r>
      <w:r>
        <w:t xml:space="preserve"> </w:t>
      </w:r>
      <w:r w:rsidR="008F3518">
        <w:t xml:space="preserve">Результаты проведённых испытаний подтверждают перспективность использования МКФ-матрицы для иммобилизации </w:t>
      </w:r>
      <w:r w:rsidR="008F3518" w:rsidRPr="008F3518">
        <w:t>отработа</w:t>
      </w:r>
      <w:r w:rsidR="008F3518">
        <w:t>вши</w:t>
      </w:r>
      <w:r w:rsidR="008F3518" w:rsidRPr="008F3518">
        <w:t xml:space="preserve">х сорбентов, насыщенных радионуклидами </w:t>
      </w:r>
      <w:r w:rsidR="008F3518" w:rsidRPr="00BA4161">
        <w:rPr>
          <w:vertAlign w:val="superscript"/>
        </w:rPr>
        <w:t>137</w:t>
      </w:r>
      <w:r w:rsidR="008F3518" w:rsidRPr="008F3518">
        <w:t xml:space="preserve">Cs и </w:t>
      </w:r>
      <w:r w:rsidR="008F3518" w:rsidRPr="00BA4161">
        <w:rPr>
          <w:vertAlign w:val="superscript"/>
        </w:rPr>
        <w:t>90</w:t>
      </w:r>
      <w:r w:rsidR="008F3518" w:rsidRPr="008F3518">
        <w:t>Sr в составе КФ</w:t>
      </w:r>
      <w:r w:rsidR="008F3518">
        <w:t>.</w:t>
      </w:r>
    </w:p>
    <w:p w14:paraId="002B85E1" w14:textId="098C147E" w:rsidR="00166E97" w:rsidRPr="00457420" w:rsidRDefault="00166E97" w:rsidP="00457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280FAA5" w14:textId="1F48CACB" w:rsidR="008F3518" w:rsidRDefault="00201A27" w:rsidP="003F7D07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201A27">
        <w:t>Милютин В.В., Некрасова Н.А., Каптаков В.О. Современные сорбционные материалы для очистки жидких радиоактивных отходов от радионуклидов цезия и стронция // Радиоактивные отходы. 2020. № 4 (13). С. 80-89.</w:t>
      </w:r>
    </w:p>
    <w:p w14:paraId="1D449117" w14:textId="47BBD6C3" w:rsidR="00F67951" w:rsidRPr="003F7D07" w:rsidRDefault="0042056B" w:rsidP="003F7D07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Винокуров С.Е., Куликова С.А., Крупская В.В., Мясоедов Б.Ф. Магнийкалийфосфатный компаунд для иммобилизации радиоактивных отходов: фазовый состав, структура, физико-химическая и гидролитическая устойчивость // Радиохимия. 2018. Т</w:t>
      </w:r>
      <w:r w:rsidR="003F7D07">
        <w:t>.</w:t>
      </w:r>
      <w:r>
        <w:t xml:space="preserve"> 60</w:t>
      </w:r>
      <w:r w:rsidR="003F7D07">
        <w:t>. № 1. С. 66-73.</w:t>
      </w:r>
      <w:bookmarkEnd w:id="0"/>
    </w:p>
    <w:sectPr w:rsidR="00F67951" w:rsidRPr="003F7D07" w:rsidSect="00BA41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DE4"/>
    <w:multiLevelType w:val="hybridMultilevel"/>
    <w:tmpl w:val="1D105434"/>
    <w:lvl w:ilvl="0" w:tplc="1FECE6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227C"/>
    <w:multiLevelType w:val="hybridMultilevel"/>
    <w:tmpl w:val="564CF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498451C"/>
    <w:multiLevelType w:val="hybridMultilevel"/>
    <w:tmpl w:val="B2F29C28"/>
    <w:lvl w:ilvl="0" w:tplc="EA4E4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6"/>
  </w:num>
  <w:num w:numId="3" w16cid:durableId="1983001380">
    <w:abstractNumId w:val="3"/>
  </w:num>
  <w:num w:numId="4" w16cid:durableId="1050033331">
    <w:abstractNumId w:val="1"/>
  </w:num>
  <w:num w:numId="5" w16cid:durableId="1118719147">
    <w:abstractNumId w:val="0"/>
  </w:num>
  <w:num w:numId="6" w16cid:durableId="764350140">
    <w:abstractNumId w:val="5"/>
  </w:num>
  <w:num w:numId="7" w16cid:durableId="193983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16E30"/>
    <w:rsid w:val="00130241"/>
    <w:rsid w:val="00166E97"/>
    <w:rsid w:val="001E61C2"/>
    <w:rsid w:val="001F0493"/>
    <w:rsid w:val="00201A27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3F7D07"/>
    <w:rsid w:val="0042056B"/>
    <w:rsid w:val="00457420"/>
    <w:rsid w:val="004A26A3"/>
    <w:rsid w:val="004F0EDF"/>
    <w:rsid w:val="005118A3"/>
    <w:rsid w:val="00522BF1"/>
    <w:rsid w:val="00550DFD"/>
    <w:rsid w:val="005523FF"/>
    <w:rsid w:val="00590166"/>
    <w:rsid w:val="005B07E6"/>
    <w:rsid w:val="005D022B"/>
    <w:rsid w:val="005E5BE9"/>
    <w:rsid w:val="00640315"/>
    <w:rsid w:val="00665279"/>
    <w:rsid w:val="0069427D"/>
    <w:rsid w:val="006F7A19"/>
    <w:rsid w:val="00705378"/>
    <w:rsid w:val="007213E1"/>
    <w:rsid w:val="00775389"/>
    <w:rsid w:val="00797838"/>
    <w:rsid w:val="007A64D2"/>
    <w:rsid w:val="007C36D8"/>
    <w:rsid w:val="007D72FB"/>
    <w:rsid w:val="007F2744"/>
    <w:rsid w:val="008064D3"/>
    <w:rsid w:val="0087052A"/>
    <w:rsid w:val="008931BE"/>
    <w:rsid w:val="008C67E3"/>
    <w:rsid w:val="008F3518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5A3A"/>
    <w:rsid w:val="00A314FE"/>
    <w:rsid w:val="00A51F5E"/>
    <w:rsid w:val="00AA1D62"/>
    <w:rsid w:val="00AD7380"/>
    <w:rsid w:val="00B40829"/>
    <w:rsid w:val="00BA4161"/>
    <w:rsid w:val="00BF36F8"/>
    <w:rsid w:val="00BF4622"/>
    <w:rsid w:val="00C36346"/>
    <w:rsid w:val="00C844E2"/>
    <w:rsid w:val="00CA38A1"/>
    <w:rsid w:val="00CD00B1"/>
    <w:rsid w:val="00D22306"/>
    <w:rsid w:val="00D37D84"/>
    <w:rsid w:val="00D42542"/>
    <w:rsid w:val="00D8121C"/>
    <w:rsid w:val="00D90727"/>
    <w:rsid w:val="00D95CDE"/>
    <w:rsid w:val="00DC5E6E"/>
    <w:rsid w:val="00DD47C4"/>
    <w:rsid w:val="00E22189"/>
    <w:rsid w:val="00E74069"/>
    <w:rsid w:val="00E81D35"/>
    <w:rsid w:val="00EB1F49"/>
    <w:rsid w:val="00F55054"/>
    <w:rsid w:val="00F67951"/>
    <w:rsid w:val="00F865B3"/>
    <w:rsid w:val="00F94E0F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D907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D90727"/>
    <w:pPr>
      <w:spacing w:after="200"/>
    </w:pPr>
    <w:rPr>
      <w:i/>
      <w:iCs/>
      <w:color w:val="1F497D" w:themeColor="text2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679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pishchulin17 pishchulin17</cp:lastModifiedBy>
  <cp:revision>8</cp:revision>
  <cp:lastPrinted>2026-01-28T14:24:00Z</cp:lastPrinted>
  <dcterms:created xsi:type="dcterms:W3CDTF">2026-02-24T20:30:00Z</dcterms:created>
  <dcterms:modified xsi:type="dcterms:W3CDTF">2026-03-18T18:27:00Z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