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87E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3" w:leftChars="69"/>
        <w:jc w:val="center"/>
        <w:textAlignment w:val="auto"/>
        <w:rPr>
          <w:rFonts w:hint="default"/>
          <w:b/>
          <w:bCs/>
          <w:sz w:val="24"/>
          <w:szCs w:val="18"/>
        </w:rPr>
      </w:pPr>
      <w:r>
        <w:rPr>
          <w:rFonts w:hint="default"/>
          <w:b/>
          <w:bCs/>
          <w:sz w:val="24"/>
          <w:szCs w:val="18"/>
        </w:rPr>
        <w:t>Радиосинтез и биораспределение N-[</w:t>
      </w:r>
      <w:r>
        <w:rPr>
          <w:rFonts w:hint="default"/>
          <w:b/>
          <w:bCs/>
          <w:sz w:val="24"/>
          <w:szCs w:val="18"/>
          <w:vertAlign w:val="superscript"/>
        </w:rPr>
        <w:t>11</w:t>
      </w:r>
      <w:r>
        <w:rPr>
          <w:rFonts w:hint="default"/>
          <w:b/>
          <w:bCs/>
          <w:sz w:val="24"/>
          <w:szCs w:val="18"/>
        </w:rPr>
        <w:t>C]метилруксолитиниба – потенциального агента для визуализации ХТЭЛГ методом ПЭТ</w:t>
      </w:r>
    </w:p>
    <w:p w14:paraId="30D53C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3" w:leftChars="69"/>
        <w:jc w:val="center"/>
        <w:textAlignment w:val="auto"/>
        <w:rPr>
          <w:rFonts w:hint="default"/>
          <w:b/>
          <w:bCs/>
          <w:i/>
          <w:iCs/>
          <w:sz w:val="24"/>
          <w:szCs w:val="18"/>
          <w:lang w:val="ru-RU"/>
        </w:rPr>
      </w:pPr>
      <w:r>
        <w:rPr>
          <w:rFonts w:hint="default"/>
          <w:b/>
          <w:bCs/>
          <w:i/>
          <w:iCs/>
          <w:sz w:val="24"/>
          <w:szCs w:val="18"/>
          <w:u w:val="none"/>
        </w:rPr>
        <w:t>Воронин И.А.</w:t>
      </w:r>
      <w:r>
        <w:rPr>
          <w:rFonts w:hint="default"/>
          <w:b/>
          <w:bCs/>
          <w:i/>
          <w:iCs/>
          <w:sz w:val="24"/>
          <w:szCs w:val="18"/>
          <w:u w:val="none"/>
          <w:vertAlign w:val="superscript"/>
          <w:lang w:val="ru-RU"/>
        </w:rPr>
        <w:t>1</w:t>
      </w:r>
      <w:r>
        <w:rPr>
          <w:rFonts w:hint="default"/>
          <w:b/>
          <w:bCs/>
          <w:i/>
          <w:iCs/>
          <w:sz w:val="24"/>
          <w:szCs w:val="18"/>
          <w:u w:val="none"/>
          <w:lang w:val="ru-RU"/>
        </w:rPr>
        <w:t>,</w:t>
      </w:r>
      <w:r>
        <w:rPr>
          <w:rFonts w:hint="default"/>
          <w:b/>
          <w:bCs/>
          <w:i/>
          <w:iCs/>
          <w:sz w:val="24"/>
          <w:szCs w:val="18"/>
        </w:rPr>
        <w:t xml:space="preserve"> В</w:t>
      </w:r>
      <w:r>
        <w:rPr>
          <w:rFonts w:hint="default"/>
          <w:b/>
          <w:bCs/>
          <w:i/>
          <w:iCs/>
          <w:sz w:val="24"/>
          <w:szCs w:val="18"/>
          <w:lang w:val="ru-RU"/>
        </w:rPr>
        <w:t>оротилов</w:t>
      </w:r>
      <w:r>
        <w:rPr>
          <w:rFonts w:hint="default"/>
          <w:b/>
          <w:bCs/>
          <w:i/>
          <w:iCs/>
          <w:sz w:val="24"/>
          <w:szCs w:val="18"/>
        </w:rPr>
        <w:t xml:space="preserve"> </w:t>
      </w:r>
      <w:r>
        <w:rPr>
          <w:rFonts w:hint="default"/>
          <w:b/>
          <w:bCs/>
          <w:i/>
          <w:iCs/>
          <w:sz w:val="24"/>
          <w:szCs w:val="18"/>
          <w:lang w:val="ru-RU"/>
        </w:rPr>
        <w:t>А</w:t>
      </w:r>
      <w:r>
        <w:rPr>
          <w:rFonts w:hint="default"/>
          <w:b/>
          <w:bCs/>
          <w:i/>
          <w:iCs/>
          <w:sz w:val="24"/>
          <w:szCs w:val="18"/>
        </w:rPr>
        <w:t>.</w:t>
      </w:r>
      <w:r>
        <w:rPr>
          <w:rFonts w:hint="default"/>
          <w:b/>
          <w:bCs/>
          <w:i/>
          <w:iCs/>
          <w:sz w:val="24"/>
          <w:szCs w:val="18"/>
          <w:lang w:val="ru-RU"/>
        </w:rPr>
        <w:t>В</w:t>
      </w:r>
      <w:r>
        <w:rPr>
          <w:rFonts w:hint="default"/>
          <w:b/>
          <w:bCs/>
          <w:i/>
          <w:iCs/>
          <w:sz w:val="24"/>
          <w:szCs w:val="18"/>
        </w:rPr>
        <w:t>.</w:t>
      </w:r>
      <w:r>
        <w:rPr>
          <w:rFonts w:hint="default"/>
          <w:b/>
          <w:bCs/>
          <w:i/>
          <w:iCs/>
          <w:sz w:val="24"/>
          <w:szCs w:val="18"/>
          <w:vertAlign w:val="superscript"/>
          <w:lang w:val="ru-RU"/>
        </w:rPr>
        <w:t>2</w:t>
      </w:r>
    </w:p>
    <w:p w14:paraId="32CE0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3" w:leftChars="69"/>
        <w:jc w:val="center"/>
        <w:textAlignment w:val="auto"/>
        <w:rPr>
          <w:rFonts w:hint="default"/>
          <w:b w:val="0"/>
          <w:bCs w:val="0"/>
          <w:i/>
          <w:iCs/>
          <w:sz w:val="24"/>
          <w:szCs w:val="18"/>
          <w:lang w:val="ru-RU"/>
        </w:rPr>
      </w:pPr>
      <w:r>
        <w:rPr>
          <w:rFonts w:hint="default"/>
          <w:b w:val="0"/>
          <w:bCs w:val="0"/>
          <w:i/>
          <w:iCs/>
          <w:sz w:val="24"/>
          <w:szCs w:val="18"/>
          <w:lang w:val="ru-RU"/>
        </w:rPr>
        <w:t>старший лаборант</w:t>
      </w:r>
    </w:p>
    <w:p w14:paraId="5BE7E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3" w:leftChars="69"/>
        <w:jc w:val="center"/>
        <w:textAlignment w:val="auto"/>
        <w:rPr>
          <w:rFonts w:hint="default"/>
          <w:b w:val="0"/>
          <w:bCs w:val="0"/>
          <w:i/>
          <w:iCs/>
          <w:sz w:val="24"/>
          <w:szCs w:val="18"/>
          <w:lang w:val="ru-RU"/>
        </w:rPr>
      </w:pPr>
      <w:r>
        <w:rPr>
          <w:rFonts w:hint="default"/>
          <w:b w:val="0"/>
          <w:bCs w:val="0"/>
          <w:i/>
          <w:iCs/>
          <w:sz w:val="24"/>
          <w:szCs w:val="18"/>
          <w:vertAlign w:val="superscript"/>
          <w:lang w:val="ru-RU"/>
        </w:rPr>
        <w:t>1</w:t>
      </w:r>
      <w:r>
        <w:rPr>
          <w:rFonts w:hint="default"/>
          <w:b w:val="0"/>
          <w:bCs w:val="0"/>
          <w:i/>
          <w:iCs/>
          <w:sz w:val="24"/>
          <w:szCs w:val="18"/>
          <w:lang w:val="ru-RU"/>
        </w:rPr>
        <w:t>Федеральное государственное бюджетное учреждение науки Институт мозга человека имени Н.П. Бехтеревой Российской академии наук (ИМЧ РАН), Санкт-Петербург, Российская Федерация</w:t>
      </w:r>
    </w:p>
    <w:p w14:paraId="0BF76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3" w:leftChars="69"/>
        <w:jc w:val="center"/>
        <w:textAlignment w:val="auto"/>
        <w:rPr>
          <w:rFonts w:hint="default"/>
          <w:b w:val="0"/>
          <w:bCs w:val="0"/>
          <w:i/>
          <w:iCs/>
          <w:sz w:val="24"/>
          <w:szCs w:val="18"/>
          <w:lang w:val="ru-RU"/>
        </w:rPr>
      </w:pPr>
      <w:r>
        <w:rPr>
          <w:rFonts w:hint="default"/>
          <w:b w:val="0"/>
          <w:bCs w:val="0"/>
          <w:i/>
          <w:iCs/>
          <w:sz w:val="24"/>
          <w:szCs w:val="18"/>
          <w:vertAlign w:val="superscript"/>
          <w:lang w:val="ru-RU"/>
        </w:rPr>
        <w:t>2</w:t>
      </w:r>
      <w:r>
        <w:rPr>
          <w:rFonts w:hint="default"/>
          <w:b w:val="0"/>
          <w:bCs w:val="0"/>
          <w:i/>
          <w:iCs/>
          <w:sz w:val="24"/>
          <w:szCs w:val="18"/>
          <w:lang w:val="ru-RU"/>
        </w:rPr>
        <w:t>Федеральное государственное бюджетное учреждение «Национальный медицинский исследовательский центр имени В. А. Алмазова» Министерства здравоохранения Российской Федерации, Санкт-Петербург, Российская Федерация</w:t>
      </w:r>
    </w:p>
    <w:p w14:paraId="5BC0A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3" w:leftChars="69"/>
        <w:jc w:val="center"/>
        <w:textAlignment w:val="auto"/>
        <w:rPr>
          <w:rFonts w:hint="default"/>
          <w:b w:val="0"/>
          <w:bCs w:val="0"/>
          <w:i/>
          <w:iCs/>
          <w:sz w:val="24"/>
          <w:szCs w:val="18"/>
          <w:lang w:val="en-US"/>
        </w:rPr>
      </w:pPr>
      <w:r>
        <w:rPr>
          <w:rFonts w:hint="default"/>
          <w:b w:val="0"/>
          <w:bCs w:val="0"/>
          <w:i/>
          <w:iCs/>
          <w:sz w:val="24"/>
          <w:szCs w:val="18"/>
          <w:lang w:val="en-US"/>
        </w:rPr>
        <w:t>Email: ilia.voron14@gmail.com</w:t>
      </w:r>
    </w:p>
    <w:p w14:paraId="088F0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5" w:firstLineChars="69"/>
        <w:textAlignment w:val="auto"/>
        <w:rPr>
          <w:rFonts w:hint="default"/>
          <w:sz w:val="24"/>
          <w:szCs w:val="18"/>
        </w:rPr>
      </w:pPr>
      <w:r>
        <w:rPr>
          <w:rFonts w:hint="default"/>
          <w:sz w:val="24"/>
          <w:szCs w:val="18"/>
        </w:rPr>
        <w:t>Актуальность: Хроническая тромбоэмболическая легочная гипертензия (ХТЭЛГ) – тяжелое осложнение тромбоэмболии легочной артерии с ограниченными возможностями терапии и плохим клиническим прогнозом. Известно, что JAK/STAT-опосредованная активация цитокинов вовлечена в развитие легочной гипертензии и связана с фиброзным изменением сосудистого русла. Ингибиторы Янус-киназ (руксолитиниб) показали эффективность в терапии ХТЭЛГ в доклинических испытаниях</w:t>
      </w:r>
      <w:r>
        <w:rPr>
          <w:rFonts w:hint="default"/>
          <w:sz w:val="24"/>
          <w:szCs w:val="18"/>
          <w:lang w:val="en-US"/>
        </w:rPr>
        <w:t xml:space="preserve"> [1]</w:t>
      </w:r>
      <w:r>
        <w:rPr>
          <w:rFonts w:hint="default"/>
          <w:sz w:val="24"/>
          <w:szCs w:val="18"/>
        </w:rPr>
        <w:t xml:space="preserve">, однако оптимальный путь их введения при ХТЭЛГ не определен. </w:t>
      </w:r>
    </w:p>
    <w:p w14:paraId="4D5C7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/>
          <w:sz w:val="24"/>
          <w:szCs w:val="18"/>
        </w:rPr>
      </w:pPr>
      <w:r>
        <w:rPr>
          <w:rFonts w:hint="default"/>
          <w:sz w:val="24"/>
          <w:szCs w:val="18"/>
        </w:rPr>
        <w:t>Цель: Радиометрическое обоснование ингаляционного пути введения руксолитиниба для терапии ХТЭЛГ путем сравнительной оценки его биораспределения с внутривенным способом доставки.</w:t>
      </w:r>
    </w:p>
    <w:p w14:paraId="633CF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/>
          <w:sz w:val="24"/>
          <w:szCs w:val="18"/>
        </w:rPr>
      </w:pPr>
      <w:r>
        <w:rPr>
          <w:rFonts w:hint="default"/>
          <w:sz w:val="24"/>
          <w:szCs w:val="18"/>
        </w:rPr>
        <w:t>Материалы и методы: N-[</w:t>
      </w:r>
      <w:r>
        <w:rPr>
          <w:rFonts w:hint="default"/>
          <w:sz w:val="24"/>
          <w:szCs w:val="18"/>
          <w:vertAlign w:val="superscript"/>
        </w:rPr>
        <w:t>11</w:t>
      </w:r>
      <w:r>
        <w:rPr>
          <w:rFonts w:hint="default"/>
          <w:sz w:val="24"/>
          <w:szCs w:val="18"/>
        </w:rPr>
        <w:t xml:space="preserve">C]метилруксолитиниб получали одностадийной реакцией метилирования руксолитиниба на автоматизированном модуле собственного производства. Подлинность подтверждали методом радио-ВЭЖХ на хроматографе DIONEX ISC-5000 с УФ- и гамма-детектором. Биораспределение проводили на крысах стока Wistar, раствор радиолиганда вводили через катетер в бедренной вене или ингалировали с помощью мембранного небулайзера. Животные были наркотизированы путем внутримышечного введения комбинированного наркоза. </w:t>
      </w:r>
    </w:p>
    <w:p w14:paraId="692F0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/>
          <w:sz w:val="24"/>
          <w:szCs w:val="18"/>
        </w:rPr>
      </w:pPr>
      <w:r>
        <w:rPr>
          <w:rFonts w:hint="default"/>
          <w:sz w:val="24"/>
          <w:szCs w:val="18"/>
        </w:rPr>
        <w:t>Результаты: N-[</w:t>
      </w:r>
      <w:r>
        <w:rPr>
          <w:rFonts w:hint="default"/>
          <w:sz w:val="24"/>
          <w:szCs w:val="18"/>
          <w:vertAlign w:val="superscript"/>
        </w:rPr>
        <w:t>11</w:t>
      </w:r>
      <w:r>
        <w:rPr>
          <w:rFonts w:hint="default"/>
          <w:sz w:val="24"/>
          <w:szCs w:val="18"/>
        </w:rPr>
        <w:t>C]метилруксолитиниб получен с радиохимическим выходом 40% (по [</w:t>
      </w:r>
      <w:r>
        <w:rPr>
          <w:rFonts w:hint="default"/>
          <w:sz w:val="24"/>
          <w:szCs w:val="18"/>
          <w:vertAlign w:val="superscript"/>
        </w:rPr>
        <w:t>11</w:t>
      </w:r>
      <w:r>
        <w:rPr>
          <w:rFonts w:hint="default"/>
          <w:sz w:val="24"/>
          <w:szCs w:val="18"/>
        </w:rPr>
        <w:t>C]CH</w:t>
      </w:r>
      <w:r>
        <w:rPr>
          <w:rFonts w:hint="default"/>
          <w:sz w:val="24"/>
          <w:szCs w:val="18"/>
          <w:vertAlign w:val="subscript"/>
        </w:rPr>
        <w:t>3</w:t>
      </w:r>
      <w:r>
        <w:rPr>
          <w:rFonts w:hint="default"/>
          <w:sz w:val="24"/>
          <w:szCs w:val="18"/>
        </w:rPr>
        <w:t xml:space="preserve">I), радиохимической чистотой ≥97% и мольной активностью 6-10 ГБк/мкмоль. Основным органом накопления при ингляционном методе введения были легкие, при внутривенном – печень и почки. </w:t>
      </w:r>
    </w:p>
    <w:p w14:paraId="6310D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sz w:val="24"/>
          <w:szCs w:val="18"/>
        </w:rPr>
      </w:pPr>
      <w:r>
        <w:rPr>
          <w:rFonts w:hint="default"/>
          <w:sz w:val="24"/>
          <w:szCs w:val="18"/>
        </w:rPr>
        <w:t>Выводы: Предложена радиометрическая оценка биораспределения N-[</w:t>
      </w:r>
      <w:r>
        <w:rPr>
          <w:rFonts w:hint="default"/>
          <w:sz w:val="24"/>
          <w:szCs w:val="18"/>
          <w:vertAlign w:val="superscript"/>
        </w:rPr>
        <w:t>11</w:t>
      </w:r>
      <w:r>
        <w:rPr>
          <w:rFonts w:hint="default"/>
          <w:sz w:val="24"/>
          <w:szCs w:val="18"/>
        </w:rPr>
        <w:t xml:space="preserve">C]метилруксолитиниба в тканях и органах при различных способах доставки исследуемого препарата. </w:t>
      </w:r>
      <w:r>
        <w:rPr>
          <w:rFonts w:hint="default"/>
          <w:sz w:val="24"/>
          <w:szCs w:val="18"/>
          <w:lang w:val="ru-RU"/>
        </w:rPr>
        <w:t>Б</w:t>
      </w:r>
      <w:r>
        <w:rPr>
          <w:rFonts w:hint="default"/>
          <w:sz w:val="24"/>
          <w:szCs w:val="18"/>
        </w:rPr>
        <w:t>ыло показано, что ингаляционная доставка руксолитиниба имеет преимущества перед внутривенным введением:</w:t>
      </w:r>
      <w:r>
        <w:rPr>
          <w:rFonts w:hint="default"/>
          <w:sz w:val="24"/>
          <w:szCs w:val="18"/>
          <w:lang w:val="ru-RU"/>
        </w:rPr>
        <w:t xml:space="preserve"> </w:t>
      </w:r>
      <w:r>
        <w:rPr>
          <w:rFonts w:hint="default"/>
          <w:sz w:val="24"/>
          <w:szCs w:val="18"/>
        </w:rPr>
        <w:t>концентраци</w:t>
      </w:r>
      <w:r>
        <w:rPr>
          <w:rFonts w:hint="default"/>
          <w:sz w:val="24"/>
          <w:szCs w:val="18"/>
          <w:lang w:val="ru-RU"/>
        </w:rPr>
        <w:t>я</w:t>
      </w:r>
      <w:r>
        <w:rPr>
          <w:rFonts w:hint="default"/>
          <w:sz w:val="24"/>
          <w:szCs w:val="18"/>
        </w:rPr>
        <w:t xml:space="preserve"> препарата в органе-мишени</w:t>
      </w:r>
      <w:r>
        <w:rPr>
          <w:rFonts w:hint="default"/>
          <w:sz w:val="24"/>
          <w:szCs w:val="18"/>
          <w:lang w:val="ru-RU"/>
        </w:rPr>
        <w:t xml:space="preserve"> (</w:t>
      </w:r>
      <w:r>
        <w:rPr>
          <w:rFonts w:hint="default"/>
          <w:sz w:val="24"/>
          <w:szCs w:val="18"/>
        </w:rPr>
        <w:t>легком</w:t>
      </w:r>
      <w:r>
        <w:rPr>
          <w:rFonts w:hint="default"/>
          <w:sz w:val="24"/>
          <w:szCs w:val="18"/>
          <w:lang w:val="ru-RU"/>
        </w:rPr>
        <w:t>) - выше</w:t>
      </w:r>
      <w:r>
        <w:rPr>
          <w:rFonts w:hint="default"/>
          <w:sz w:val="24"/>
          <w:szCs w:val="18"/>
        </w:rPr>
        <w:t>, а дозовая нагрузка на нецелевые органы снижается, что обосновывает потенциал N-[</w:t>
      </w:r>
      <w:r>
        <w:rPr>
          <w:rFonts w:hint="default"/>
          <w:sz w:val="24"/>
          <w:szCs w:val="18"/>
          <w:vertAlign w:val="superscript"/>
        </w:rPr>
        <w:t>11</w:t>
      </w:r>
      <w:r>
        <w:rPr>
          <w:rFonts w:hint="default"/>
          <w:sz w:val="24"/>
          <w:szCs w:val="18"/>
        </w:rPr>
        <w:t>С]метилруксолитиниба в качестве диагностического ПЭТ-радиолиганда.</w:t>
      </w:r>
    </w:p>
    <w:p w14:paraId="65CD5F59">
      <w:pPr>
        <w:pStyle w:val="41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Таблица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SEQ Таблица \* ARABIC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Значения введенной дозы на грамм ткани органа к введенной дозе на грамм крови. ПЖ и ЛЖ - правый и левый желудочки, в.отд и н. отд - верхний и нижний отдел</w:t>
      </w:r>
      <w:bookmarkStart w:id="0" w:name="_GoBack"/>
      <w:bookmarkEnd w:id="0"/>
    </w:p>
    <w:tbl>
      <w:tblPr>
        <w:tblStyle w:val="151"/>
        <w:tblW w:w="4900" w:type="pct"/>
        <w:jc w:val="center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60"/>
        <w:gridCol w:w="990"/>
        <w:gridCol w:w="1296"/>
        <w:gridCol w:w="1315"/>
        <w:gridCol w:w="1226"/>
        <w:gridCol w:w="1117"/>
        <w:gridCol w:w="1292"/>
      </w:tblGrid>
      <w:tr w14:paraId="7DDA1B9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7" w:hRule="atLeast"/>
          <w:jc w:val="center"/>
        </w:trPr>
        <w:tc>
          <w:tcPr>
            <w:tcW w:w="497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44762EC9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szCs w:val="24"/>
                <w:lang w:val="ru-RU"/>
              </w:rPr>
            </w:pPr>
          </w:p>
        </w:tc>
        <w:tc>
          <w:tcPr>
            <w:tcW w:w="575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7011D8D5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ПЖ</w:t>
            </w:r>
          </w:p>
        </w:tc>
        <w:tc>
          <w:tcPr>
            <w:tcW w:w="537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77B84648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ЛЖ</w:t>
            </w:r>
          </w:p>
        </w:tc>
        <w:tc>
          <w:tcPr>
            <w:tcW w:w="703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736D2F5D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 xml:space="preserve">Легкие </w:t>
            </w: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(в. отд.)</w:t>
            </w:r>
          </w:p>
        </w:tc>
        <w:tc>
          <w:tcPr>
            <w:tcW w:w="713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3EBF02B0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 xml:space="preserve">Легкие </w:t>
            </w: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(н. отд.)</w:t>
            </w:r>
          </w:p>
        </w:tc>
        <w:tc>
          <w:tcPr>
            <w:tcW w:w="665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40D6F62D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Печень</w:t>
            </w:r>
          </w:p>
        </w:tc>
        <w:tc>
          <w:tcPr>
            <w:tcW w:w="606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11AEE6D4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Почки</w:t>
            </w:r>
          </w:p>
        </w:tc>
        <w:tc>
          <w:tcPr>
            <w:tcW w:w="700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15C5E1E7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Мышца</w:t>
            </w:r>
          </w:p>
        </w:tc>
      </w:tr>
      <w:tr w14:paraId="63C64CC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9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33627CFA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в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в</w:t>
            </w:r>
          </w:p>
        </w:tc>
        <w:tc>
          <w:tcPr>
            <w:tcW w:w="575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646150F8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4,24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0,41</w:t>
            </w:r>
          </w:p>
        </w:tc>
        <w:tc>
          <w:tcPr>
            <w:tcW w:w="53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046C253F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3,81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0,42</w:t>
            </w:r>
          </w:p>
        </w:tc>
        <w:tc>
          <w:tcPr>
            <w:tcW w:w="70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43DD8B9F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8,14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2,77</w:t>
            </w:r>
          </w:p>
        </w:tc>
        <w:tc>
          <w:tcPr>
            <w:tcW w:w="71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25423345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8,10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1,24</w:t>
            </w:r>
          </w:p>
        </w:tc>
        <w:tc>
          <w:tcPr>
            <w:tcW w:w="665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77B5B61B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8,25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0,96</w:t>
            </w:r>
          </w:p>
        </w:tc>
        <w:tc>
          <w:tcPr>
            <w:tcW w:w="606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1118140F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12,79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2,25</w:t>
            </w:r>
          </w:p>
        </w:tc>
        <w:tc>
          <w:tcPr>
            <w:tcW w:w="700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0E8B18DA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0,53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0,23</w:t>
            </w:r>
          </w:p>
        </w:tc>
      </w:tr>
      <w:tr w14:paraId="5DF3383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97" w:type="pct"/>
            <w:vAlign w:val="center"/>
          </w:tcPr>
          <w:p w14:paraId="497D4E02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ингал.</w:t>
            </w:r>
          </w:p>
        </w:tc>
        <w:tc>
          <w:tcPr>
            <w:tcW w:w="575" w:type="pct"/>
            <w:vAlign w:val="center"/>
          </w:tcPr>
          <w:p w14:paraId="67266E07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>3,54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 ± 0,10</w:t>
            </w:r>
          </w:p>
        </w:tc>
        <w:tc>
          <w:tcPr>
            <w:tcW w:w="537" w:type="pct"/>
            <w:vAlign w:val="center"/>
          </w:tcPr>
          <w:p w14:paraId="4857F170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3,12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0,14</w:t>
            </w:r>
          </w:p>
        </w:tc>
        <w:tc>
          <w:tcPr>
            <w:tcW w:w="703" w:type="pct"/>
            <w:vAlign w:val="center"/>
          </w:tcPr>
          <w:p w14:paraId="70D628EE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6,08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0,80</w:t>
            </w:r>
          </w:p>
        </w:tc>
        <w:tc>
          <w:tcPr>
            <w:tcW w:w="713" w:type="pct"/>
            <w:vAlign w:val="center"/>
          </w:tcPr>
          <w:p w14:paraId="62ED2B18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5,36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0,53</w:t>
            </w:r>
          </w:p>
        </w:tc>
        <w:tc>
          <w:tcPr>
            <w:tcW w:w="665" w:type="pct"/>
            <w:vAlign w:val="center"/>
          </w:tcPr>
          <w:p w14:paraId="3F9B22A4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3,29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0,51</w:t>
            </w:r>
          </w:p>
        </w:tc>
        <w:tc>
          <w:tcPr>
            <w:tcW w:w="606" w:type="pct"/>
            <w:vAlign w:val="center"/>
          </w:tcPr>
          <w:p w14:paraId="3D8CCF23"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>4,17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 ± 0,72</w:t>
            </w:r>
          </w:p>
        </w:tc>
        <w:tc>
          <w:tcPr>
            <w:tcW w:w="700" w:type="pct"/>
            <w:vAlign w:val="center"/>
          </w:tcPr>
          <w:p w14:paraId="3AA054DD">
            <w:pPr>
              <w:keepNext/>
              <w:spacing w:line="240" w:lineRule="auto"/>
              <w:jc w:val="center"/>
              <w:rPr>
                <w:rFonts w:cs="Times New Roman"/>
                <w:b w:val="0"/>
                <w:bCs w:val="0"/>
                <w:sz w:val="22"/>
                <w:lang w:val="ru-RU"/>
              </w:rPr>
            </w:pPr>
            <w:r>
              <w:rPr>
                <w:rFonts w:cs="Times New Roman"/>
                <w:b w:val="0"/>
                <w:bCs w:val="0"/>
                <w:sz w:val="22"/>
                <w:lang w:val="ru-RU"/>
              </w:rPr>
              <w:t xml:space="preserve">1,20 </w:t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br w:type="textWrapping"/>
            </w:r>
            <w:r>
              <w:rPr>
                <w:rFonts w:cs="Times New Roman"/>
                <w:b w:val="0"/>
                <w:bCs w:val="0"/>
                <w:sz w:val="22"/>
                <w:lang w:val="ru-RU"/>
              </w:rPr>
              <w:t>± 0,05</w:t>
            </w:r>
          </w:p>
        </w:tc>
      </w:tr>
    </w:tbl>
    <w:p w14:paraId="3A2A6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3" w:leftChars="69"/>
        <w:textAlignment w:val="auto"/>
        <w:rPr>
          <w:rFonts w:hint="default"/>
          <w:i/>
          <w:iCs/>
          <w:sz w:val="24"/>
          <w:szCs w:val="18"/>
          <w:lang w:val="en-US"/>
        </w:rPr>
      </w:pPr>
      <w:r>
        <w:rPr>
          <w:rFonts w:hint="default"/>
          <w:i/>
          <w:iCs/>
          <w:sz w:val="24"/>
          <w:szCs w:val="18"/>
          <w:lang w:val="en-US"/>
        </w:rPr>
        <w:t>Работа выполнена в рамках</w:t>
      </w:r>
      <w:r>
        <w:rPr>
          <w:rFonts w:hint="default"/>
          <w:i/>
          <w:iCs/>
          <w:sz w:val="24"/>
          <w:szCs w:val="18"/>
          <w:lang w:val="ru-RU"/>
        </w:rPr>
        <w:t xml:space="preserve"> </w:t>
      </w:r>
      <w:r>
        <w:rPr>
          <w:rFonts w:hint="default"/>
          <w:i/>
          <w:iCs/>
          <w:sz w:val="24"/>
          <w:szCs w:val="18"/>
          <w:lang w:val="en-US"/>
        </w:rPr>
        <w:t>Государственного задания Министерства образования и науки, тема номер FMMW-2025-0010 и гранта РНФ 23-75-10122.</w:t>
      </w:r>
    </w:p>
    <w:p w14:paraId="3CE93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3" w:leftChars="69"/>
        <w:jc w:val="center"/>
        <w:textAlignment w:val="auto"/>
        <w:rPr>
          <w:b/>
          <w:bCs/>
          <w:sz w:val="24"/>
          <w:szCs w:val="18"/>
          <w:lang w:val="ru-RU"/>
        </w:rPr>
      </w:pPr>
      <w:r>
        <w:rPr>
          <w:b/>
          <w:bCs/>
          <w:sz w:val="24"/>
          <w:szCs w:val="18"/>
          <w:lang w:val="ru-RU"/>
        </w:rPr>
        <w:t>Литература</w:t>
      </w:r>
    </w:p>
    <w:p w14:paraId="2873A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3" w:leftChars="69"/>
        <w:jc w:val="left"/>
        <w:textAlignment w:val="auto"/>
        <w:rPr>
          <w:rFonts w:hint="default"/>
          <w:b w:val="0"/>
          <w:bCs w:val="0"/>
          <w:sz w:val="24"/>
          <w:szCs w:val="18"/>
          <w:lang w:val="ru-RU"/>
        </w:rPr>
      </w:pPr>
      <w:r>
        <w:rPr>
          <w:rFonts w:hint="default"/>
          <w:b w:val="0"/>
          <w:bCs w:val="0"/>
          <w:sz w:val="24"/>
          <w:szCs w:val="18"/>
          <w:lang w:val="ru-RU"/>
        </w:rPr>
        <w:t xml:space="preserve">1. Karpov A. A. </w:t>
      </w:r>
      <w:r>
        <w:rPr>
          <w:rFonts w:hint="default"/>
          <w:b w:val="0"/>
          <w:bCs w:val="0"/>
          <w:i/>
          <w:iCs/>
          <w:sz w:val="24"/>
          <w:szCs w:val="18"/>
          <w:lang w:val="en-US"/>
        </w:rPr>
        <w:t>et</w:t>
      </w:r>
      <w:r>
        <w:rPr>
          <w:rFonts w:hint="default"/>
          <w:b w:val="0"/>
          <w:bCs w:val="0"/>
          <w:i/>
          <w:iCs/>
          <w:sz w:val="24"/>
          <w:szCs w:val="18"/>
          <w:lang w:val="ru-RU"/>
        </w:rPr>
        <w:t xml:space="preserve"> </w:t>
      </w:r>
      <w:r>
        <w:rPr>
          <w:rFonts w:hint="default"/>
          <w:b w:val="0"/>
          <w:bCs w:val="0"/>
          <w:i/>
          <w:iCs/>
          <w:sz w:val="24"/>
          <w:szCs w:val="18"/>
          <w:lang w:val="en-US"/>
        </w:rPr>
        <w:t>al</w:t>
      </w:r>
      <w:r>
        <w:rPr>
          <w:rFonts w:hint="default"/>
          <w:b w:val="0"/>
          <w:bCs w:val="0"/>
          <w:sz w:val="24"/>
          <w:szCs w:val="18"/>
          <w:lang w:val="ru-RU"/>
        </w:rPr>
        <w:t xml:space="preserve">. Inhibition of JAK1,2 Prevents Fibrotic Remodeling of Pulmonary Vascular Bed and Improves Outcomes in the Rat Model of Chronic Thromboembolic Pulmonary Hypertension // International Journal of Molecular Sciences. 2022. № 24 (23). </w:t>
      </w:r>
      <w:r>
        <w:rPr>
          <w:rFonts w:hint="default"/>
          <w:b w:val="0"/>
          <w:bCs w:val="0"/>
          <w:sz w:val="24"/>
          <w:szCs w:val="18"/>
          <w:lang w:val="en-US"/>
        </w:rPr>
        <w:t>Vol</w:t>
      </w:r>
      <w:r>
        <w:rPr>
          <w:rFonts w:hint="default"/>
          <w:b w:val="0"/>
          <w:bCs w:val="0"/>
          <w:sz w:val="24"/>
          <w:szCs w:val="18"/>
          <w:lang w:val="ru-RU"/>
        </w:rPr>
        <w:t>.</w:t>
      </w:r>
      <w:r>
        <w:rPr>
          <w:rFonts w:hint="default"/>
          <w:b w:val="0"/>
          <w:bCs w:val="0"/>
          <w:sz w:val="24"/>
          <w:szCs w:val="18"/>
          <w:lang w:val="en-US"/>
        </w:rPr>
        <w:t xml:space="preserve"> P.</w:t>
      </w:r>
      <w:r>
        <w:rPr>
          <w:rFonts w:hint="default"/>
          <w:b w:val="0"/>
          <w:bCs w:val="0"/>
          <w:sz w:val="24"/>
          <w:szCs w:val="18"/>
          <w:lang w:val="ru-RU"/>
        </w:rPr>
        <w:t xml:space="preserve"> 15646.</w:t>
      </w:r>
    </w:p>
    <w:sectPr>
      <w:pgSz w:w="11906" w:h="16838"/>
      <w:pgMar w:top="1134" w:right="1361" w:bottom="720" w:left="136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3EC3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443C1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892823"/>
    <w:rsid w:val="11B20C7B"/>
    <w:rsid w:val="133B3EC3"/>
    <w:rsid w:val="14501AE1"/>
    <w:rsid w:val="19896E17"/>
    <w:rsid w:val="2CB93CEB"/>
    <w:rsid w:val="303F2ABD"/>
    <w:rsid w:val="3D2E204C"/>
    <w:rsid w:val="51B70D75"/>
    <w:rsid w:val="53602E5D"/>
    <w:rsid w:val="555826E6"/>
    <w:rsid w:val="5644221B"/>
    <w:rsid w:val="61C32445"/>
    <w:rsid w:val="665D656A"/>
    <w:rsid w:val="6CE9107F"/>
    <w:rsid w:val="796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 w:line="360" w:lineRule="auto"/>
      <w:jc w:val="center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1">
    <w:name w:val="Plain Table 2"/>
    <w:basedOn w:val="1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2026-03-02T19:15:00Z</dcterms:created>
  <dc:creator>Илья Воронин</dc:creator>
  <cp:lastModifiedBy>Илья Воронин</cp:lastModifiedBy>
  <dcterms:modified xsi:type="dcterms:W3CDTF">2026-03-18T10:50:43Z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3128A5F432E145FDBE27335AC72D0AC4_11</vt:lpwstr>
  </property>
</Properties>
</file>