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EE516">
      <w:pPr>
        <w:widowControl/>
        <w:shd w:val="clear" w:color="auto" w:fill="FFFFFF"/>
        <w:jc w:val="center"/>
        <w:rPr>
          <w:rFonts w:ascii="Arial" w:hAnsi="Arial" w:eastAsia="Arial" w:cs="Arial"/>
          <w:kern w:val="0"/>
          <w:sz w:val="32"/>
          <w:szCs w:val="32"/>
          <w:shd w:val="clear" w:color="auto" w:fill="FFFFFF"/>
          <w:lang w:bidi="ar"/>
        </w:rPr>
      </w:pPr>
      <w:r>
        <w:rPr>
          <w:rFonts w:ascii="Times New Roman" w:hAnsi="Times New Roman" w:eastAsia="Times New Roman" w:cs="Times New Roman"/>
          <w:b/>
          <w:color w:val="000000"/>
          <w:kern w:val="0"/>
          <w:sz w:val="24"/>
          <w:lang w:eastAsia="ru-RU" w:bidi="ar"/>
        </w:rPr>
        <w:t>Comparison of Pu Sorption on Fracture Filling Matter Collected from Beishan and Yeniseisky Future Deep Disposals of HLW</w:t>
      </w:r>
    </w:p>
    <w:p w14:paraId="2BAC60AB">
      <w:pPr>
        <w:widowControl/>
        <w:shd w:val="clear" w:color="auto" w:fill="FFFFFF"/>
        <w:jc w:val="center"/>
        <w:rPr>
          <w:rFonts w:ascii="Times New Roman" w:hAnsi="Times New Roman" w:eastAsia="Times New Roman" w:cs="Times New Roman"/>
          <w:i/>
          <w:color w:val="000000"/>
          <w:kern w:val="0"/>
          <w:sz w:val="24"/>
          <w:lang w:eastAsia="ru-RU" w:bidi="ar"/>
        </w:rPr>
      </w:pPr>
      <w:r>
        <w:rPr>
          <w:rFonts w:ascii="Times New Roman Bold Italic" w:hAnsi="Times New Roman Bold Italic" w:eastAsia="Times New Roman" w:cs="Times New Roman Bold Italic"/>
          <w:b/>
          <w:bCs/>
          <w:i/>
          <w:color w:val="000000"/>
          <w:kern w:val="0"/>
          <w:sz w:val="24"/>
          <w:lang w:eastAsia="ru-RU" w:bidi="ar"/>
        </w:rPr>
        <w:t>Liu Jie</w:t>
      </w:r>
      <w:r>
        <w:rPr>
          <w:rFonts w:ascii="Times New Roman" w:hAnsi="Times New Roman" w:eastAsia="Times New Roman" w:cs="Times New Roman"/>
          <w:i/>
          <w:color w:val="000000"/>
          <w:kern w:val="0"/>
          <w:sz w:val="24"/>
          <w:lang w:eastAsia="ru-RU" w:bidi="ar"/>
        </w:rPr>
        <w:t xml:space="preserve"> </w:t>
      </w:r>
    </w:p>
    <w:p w14:paraId="4D459096">
      <w:pPr>
        <w:widowControl/>
        <w:shd w:val="clear" w:color="auto" w:fill="FFFFFF"/>
        <w:jc w:val="center"/>
        <w:rPr>
          <w:rFonts w:ascii="Times New Roman" w:hAnsi="Times New Roman" w:eastAsia="Times New Roman" w:cs="Times New Roman"/>
          <w:i/>
          <w:color w:val="000000"/>
          <w:kern w:val="0"/>
          <w:sz w:val="24"/>
          <w:lang w:eastAsia="ru-RU" w:bidi="ar"/>
        </w:rPr>
      </w:pPr>
      <w:r>
        <w:rPr>
          <w:rFonts w:ascii="Times New Roman" w:hAnsi="Times New Roman" w:eastAsia="Times New Roman" w:cs="Times New Roman"/>
          <w:i/>
          <w:color w:val="000000"/>
          <w:kern w:val="0"/>
          <w:sz w:val="24"/>
          <w:lang w:eastAsia="ru-RU" w:bidi="ar"/>
        </w:rPr>
        <w:t>Student, Second year of master</w:t>
      </w:r>
    </w:p>
    <w:p w14:paraId="1BCD64C3">
      <w:pPr>
        <w:widowControl/>
        <w:shd w:val="clear" w:color="auto" w:fill="FFFFFF"/>
        <w:jc w:val="center"/>
        <w:rPr>
          <w:rFonts w:ascii="Times New Roman" w:hAnsi="Times New Roman" w:eastAsia="宋体" w:cs="Times New Roman"/>
          <w:i/>
          <w:color w:val="000000"/>
          <w:kern w:val="0"/>
          <w:sz w:val="24"/>
          <w:lang w:bidi="ar"/>
        </w:rPr>
      </w:pPr>
      <w:r>
        <w:rPr>
          <w:rFonts w:hint="eastAsia" w:ascii="Times New Roman" w:hAnsi="Times New Roman" w:eastAsia="宋体" w:cs="Times New Roman"/>
          <w:i/>
          <w:color w:val="000000"/>
          <w:kern w:val="0"/>
          <w:sz w:val="24"/>
          <w:lang w:val="en-US" w:eastAsia="zh-CN" w:bidi="ar"/>
        </w:rPr>
        <w:t>Chemistry Department</w:t>
      </w:r>
      <w:r>
        <w:rPr>
          <w:rFonts w:hint="default" w:ascii="Times New Roman" w:hAnsi="Times New Roman" w:eastAsia="宋体" w:cs="Times New Roman"/>
          <w:i/>
          <w:color w:val="000000"/>
          <w:kern w:val="0"/>
          <w:sz w:val="24"/>
          <w:lang w:val="en-US" w:eastAsia="zh-CN" w:bidi="ar"/>
        </w:rPr>
        <w:t xml:space="preserve">, </w:t>
      </w:r>
      <w:r>
        <w:rPr>
          <w:rFonts w:ascii="Times New Roman" w:hAnsi="Times New Roman" w:eastAsia="Times New Roman" w:cs="Times New Roman"/>
          <w:i/>
          <w:color w:val="000000"/>
          <w:kern w:val="0"/>
          <w:sz w:val="24"/>
          <w:lang w:eastAsia="ru-RU" w:bidi="ar"/>
        </w:rPr>
        <w:t>Lomonosov Moscow State University</w:t>
      </w:r>
      <w:r>
        <w:rPr>
          <w:rFonts w:hint="eastAsia" w:ascii="Times New Roman" w:hAnsi="Times New Roman" w:eastAsia="宋体" w:cs="Times New Roman"/>
          <w:i/>
          <w:color w:val="000000"/>
          <w:kern w:val="0"/>
          <w:sz w:val="24"/>
          <w:lang w:bidi="ar"/>
        </w:rPr>
        <w:t>,</w:t>
      </w:r>
      <w:r>
        <w:rPr>
          <w:rFonts w:ascii="Times New Roman" w:hAnsi="Times New Roman" w:eastAsia="Times New Roman" w:cs="Times New Roman"/>
          <w:i/>
          <w:color w:val="000000"/>
          <w:kern w:val="0"/>
          <w:sz w:val="24"/>
          <w:lang w:eastAsia="ru-RU" w:bidi="ar"/>
        </w:rPr>
        <w:t xml:space="preserve"> </w:t>
      </w:r>
      <w:r>
        <w:rPr>
          <w:rFonts w:hint="eastAsia" w:ascii="Times New Roman" w:hAnsi="Times New Roman" w:eastAsia="宋体" w:cs="Times New Roman"/>
          <w:i/>
          <w:color w:val="000000"/>
          <w:kern w:val="0"/>
          <w:sz w:val="24"/>
          <w:lang w:bidi="ar"/>
        </w:rPr>
        <w:t>Moscow, Russia</w:t>
      </w:r>
    </w:p>
    <w:p w14:paraId="51A753E9">
      <w:pPr>
        <w:widowControl/>
        <w:shd w:val="clear" w:color="auto" w:fill="FFFFFF"/>
        <w:jc w:val="center"/>
        <w:rPr>
          <w:rFonts w:ascii="Arial" w:hAnsi="Arial" w:cs="Arial"/>
        </w:rPr>
      </w:pPr>
      <w:r>
        <w:rPr>
          <w:rFonts w:hint="eastAsia" w:ascii="Times New Roman" w:hAnsi="Times New Roman" w:eastAsia="宋体" w:cs="Times New Roman"/>
          <w:i/>
          <w:color w:val="000000"/>
          <w:kern w:val="0"/>
          <w:sz w:val="24"/>
          <w:lang w:bidi="ar"/>
        </w:rPr>
        <w:t xml:space="preserve">Email: </w:t>
      </w:r>
      <w:r>
        <w:rPr>
          <w:rFonts w:ascii="Times New Roman" w:hAnsi="Times New Roman" w:eastAsia="Times New Roman" w:cs="Times New Roman"/>
          <w:i/>
          <w:color w:val="000000"/>
          <w:kern w:val="0"/>
          <w:sz w:val="24"/>
          <w:lang w:eastAsia="ru-RU" w:bidi="ar"/>
        </w:rPr>
        <w:t>laujay358@gmail.com</w:t>
      </w:r>
    </w:p>
    <w:p w14:paraId="3542FDE5">
      <w:pPr>
        <w:widowControl/>
        <w:shd w:val="clear" w:color="auto" w:fill="FFFFFF"/>
        <w:ind w:firstLine="397"/>
        <w:rPr>
          <w:rFonts w:ascii="Times New Roman" w:hAnsi="Times New Roman" w:eastAsia="Times New Roman" w:cs="Times New Roman"/>
          <w:color w:val="000000"/>
          <w:kern w:val="0"/>
          <w:sz w:val="24"/>
          <w:lang w:eastAsia="ru-RU" w:bidi="ar"/>
        </w:rPr>
      </w:pPr>
      <w:r>
        <w:rPr>
          <w:rFonts w:ascii="Times New Roman" w:hAnsi="Times New Roman" w:eastAsia="Times New Roman" w:cs="Times New Roman"/>
          <w:color w:val="000000"/>
          <w:kern w:val="0"/>
          <w:sz w:val="24"/>
          <w:lang w:eastAsia="ru-RU" w:bidi="ar"/>
        </w:rPr>
        <w:t>High-level radioactive waste (HLW) geological disposal represents one of the most critical challenges facing the nuclear energy sector, requiring comprehensive understanding of radionuclide migration behavior in deep geological formations. Long-lived alpha-emitting radionuclides, including plutonium-239 (T1/2=24ky) are hazardous and radiotoxic nuclides. Moreover, Pu has very complicated environmental behavior due to redox transformations. Understanding its geochemical behavior, particularly its sorption characteristics under repository-relevant conditions, is essential for accurate performance assessment and safety case development.</w:t>
      </w:r>
    </w:p>
    <w:p w14:paraId="5F166406">
      <w:pPr>
        <w:widowControl/>
        <w:shd w:val="clear" w:color="auto" w:fill="FFFFFF"/>
        <w:ind w:firstLine="397"/>
        <w:rPr>
          <w:rFonts w:ascii="Times New Roman" w:hAnsi="Times New Roman" w:eastAsia="Times New Roman" w:cs="Times New Roman"/>
          <w:color w:val="000000"/>
          <w:kern w:val="0"/>
          <w:sz w:val="24"/>
          <w:lang w:eastAsia="ru-RU" w:bidi="ar"/>
        </w:rPr>
      </w:pPr>
      <w:r>
        <w:rPr>
          <w:rFonts w:ascii="Times New Roman" w:hAnsi="Times New Roman" w:eastAsia="Times New Roman" w:cs="Times New Roman"/>
          <w:color w:val="000000"/>
          <w:kern w:val="0"/>
          <w:sz w:val="24"/>
          <w:lang w:eastAsia="ru-RU" w:bidi="ar"/>
        </w:rPr>
        <w:t>This study presents a comparative investigation of Pu sorption characteristics on fracture filling and rock samples collected from two internationally significant candidate disposal sites: the Beishan granite formation in China, and the Yeniseisky granitoid massif in Russia.</w:t>
      </w:r>
    </w:p>
    <w:p w14:paraId="2283D961">
      <w:pPr>
        <w:widowControl/>
        <w:shd w:val="clear" w:color="auto" w:fill="FFFFFF"/>
        <w:ind w:firstLine="397"/>
        <w:rPr>
          <w:rFonts w:ascii="Arial" w:hAnsi="Arial" w:eastAsia="Helvetica Neue" w:cs="Arial"/>
          <w:color w:val="24292F"/>
          <w:kern w:val="0"/>
          <w:sz w:val="28"/>
          <w:szCs w:val="28"/>
          <w:shd w:val="clear" w:color="auto" w:fill="FFFFFF"/>
          <w:lang w:bidi="ar"/>
        </w:rPr>
      </w:pPr>
      <w:r>
        <w:rPr>
          <w:rFonts w:ascii="Times New Roman" w:hAnsi="Times New Roman" w:eastAsia="Times New Roman" w:cs="Times New Roman"/>
          <w:color w:val="000000"/>
          <w:kern w:val="0"/>
          <w:sz w:val="24"/>
          <w:lang w:eastAsia="ru-RU" w:bidi="ar"/>
        </w:rPr>
        <w:t>The comparative approach adopted in this investigation offers several advantages over site-specific studies. By examining fracture filling materials from two distinct geological settings within a single experimental framework, this research facilitates direct comparison of Pu sorption behavior under identical laboratory conditions, thereby isolating the influence of material properties from methodological variability. Furthermore, the international dimension of this work aligns with growing recognition of the benefits of cross-site collaboration and data sharing within the radioactive waste management community.</w:t>
      </w:r>
    </w:p>
    <w:p w14:paraId="2B82A31E">
      <w:pPr>
        <w:widowControl/>
        <w:shd w:val="clear" w:color="auto" w:fill="FFFFFF"/>
        <w:ind w:firstLine="397"/>
        <w:rPr>
          <w:rFonts w:ascii="Times New Roman" w:hAnsi="Times New Roman" w:eastAsia="Times New Roman" w:cs="Times New Roman"/>
          <w:color w:val="000000"/>
          <w:kern w:val="0"/>
          <w:sz w:val="24"/>
          <w:szCs w:val="24"/>
          <w:shd w:val="clear" w:color="auto" w:fill="auto"/>
          <w:lang w:eastAsia="ru-RU" w:bidi="ar"/>
        </w:rPr>
      </w:pPr>
      <w:r>
        <w:rPr>
          <w:rFonts w:ascii="Times New Roman" w:hAnsi="Times New Roman" w:eastAsia="Times New Roman" w:cs="Times New Roman"/>
          <w:color w:val="000000"/>
          <w:kern w:val="0"/>
          <w:sz w:val="24"/>
          <w:lang w:eastAsia="ru-RU" w:bidi="ar"/>
        </w:rPr>
        <w:t>We selected fracture fillers and rocks from the different wells of two sites</w:t>
      </w:r>
      <w:r>
        <w:rPr>
          <w:rFonts w:hint="default" w:ascii="Times New Roman" w:hAnsi="Times New Roman" w:eastAsia="Times New Roman" w:cs="Times New Roman"/>
          <w:color w:val="000000"/>
          <w:kern w:val="0"/>
          <w:sz w:val="24"/>
          <w:lang w:val="en-US" w:eastAsia="ru-RU" w:bidi="ar"/>
        </w:rPr>
        <w:t xml:space="preserve">, </w:t>
      </w:r>
      <w:r>
        <w:rPr>
          <w:rFonts w:ascii="Times New Roman" w:hAnsi="Times New Roman" w:eastAsia="Times New Roman" w:cs="Times New Roman"/>
          <w:color w:val="000000"/>
          <w:kern w:val="0"/>
          <w:sz w:val="24"/>
          <w:lang w:eastAsia="ru-RU" w:bidi="ar"/>
        </w:rPr>
        <w:t xml:space="preserve">batch sorption experiments were conducted under controlled laboratory conditions to determine </w:t>
      </w:r>
      <w:r>
        <w:rPr>
          <w:rFonts w:ascii="Times New Roman" w:hAnsi="Times New Roman" w:eastAsia="Times New Roman" w:cs="Times New Roman"/>
          <w:color w:val="000000"/>
          <w:kern w:val="0"/>
          <w:sz w:val="24"/>
          <w:szCs w:val="24"/>
          <w:shd w:val="clear" w:color="auto" w:fill="auto"/>
          <w:lang w:eastAsia="ru-RU" w:bidi="ar"/>
        </w:rPr>
        <w:t xml:space="preserve">distribution coefficients (Kd) by </w:t>
      </w:r>
      <w:r>
        <w:rPr>
          <w:rFonts w:ascii="Times New Roman" w:hAnsi="Times New Roman" w:eastAsia="Times New Roman" w:cs="Times New Roman"/>
          <w:color w:val="auto"/>
          <w:kern w:val="0"/>
          <w:sz w:val="24"/>
          <w:szCs w:val="24"/>
          <w:highlight w:val="none"/>
          <w:shd w:val="clear" w:color="auto" w:fill="auto"/>
          <w:lang w:eastAsia="ru-RU" w:bidi="ar"/>
        </w:rPr>
        <w:t>kinetics</w:t>
      </w:r>
      <w:r>
        <w:rPr>
          <w:rFonts w:ascii="Times New Roman" w:hAnsi="Times New Roman" w:eastAsia="Times New Roman" w:cs="Times New Roman"/>
          <w:color w:val="auto"/>
          <w:kern w:val="0"/>
          <w:sz w:val="24"/>
          <w:highlight w:val="none"/>
          <w:lang w:eastAsia="ru-RU" w:bidi="ar"/>
        </w:rPr>
        <w:t xml:space="preserve"> sorption</w:t>
      </w:r>
      <w:r>
        <w:rPr>
          <w:rFonts w:ascii="Times New Roman" w:hAnsi="Times New Roman" w:eastAsia="Times New Roman" w:cs="Times New Roman"/>
          <w:color w:val="auto"/>
          <w:kern w:val="0"/>
          <w:sz w:val="24"/>
          <w:szCs w:val="24"/>
          <w:highlight w:val="none"/>
          <w:shd w:val="clear" w:color="auto" w:fill="auto"/>
          <w:lang w:eastAsia="ru-RU" w:bidi="ar"/>
        </w:rPr>
        <w:t xml:space="preserve"> study</w:t>
      </w:r>
      <w:r>
        <w:rPr>
          <w:rFonts w:hint="default" w:ascii="Times New Roman" w:hAnsi="Times New Roman" w:eastAsia="Times New Roman" w:cs="Times New Roman"/>
          <w:color w:val="auto"/>
          <w:kern w:val="0"/>
          <w:sz w:val="24"/>
          <w:szCs w:val="24"/>
          <w:highlight w:val="none"/>
          <w:shd w:val="clear" w:color="auto" w:fill="auto"/>
          <w:lang w:val="en-US" w:eastAsia="ru-RU" w:bidi="ar"/>
        </w:rPr>
        <w:t>,</w:t>
      </w:r>
      <w:r>
        <w:rPr>
          <w:rFonts w:ascii="Times New Roman" w:hAnsi="Times New Roman" w:eastAsia="Times New Roman" w:cs="Times New Roman"/>
          <w:color w:val="000000"/>
          <w:kern w:val="0"/>
          <w:sz w:val="24"/>
          <w:szCs w:val="24"/>
          <w:shd w:val="clear" w:color="auto" w:fill="auto"/>
          <w:lang w:eastAsia="ru-RU" w:bidi="ar"/>
        </w:rPr>
        <w:t xml:space="preserve"> </w:t>
      </w:r>
      <w:bookmarkStart w:id="0" w:name="_GoBack"/>
      <w:bookmarkEnd w:id="0"/>
      <w:r>
        <w:rPr>
          <w:rFonts w:ascii="Times New Roman" w:hAnsi="Times New Roman" w:eastAsia="Times New Roman" w:cs="Times New Roman"/>
          <w:color w:val="000000"/>
          <w:kern w:val="0"/>
          <w:sz w:val="24"/>
          <w:szCs w:val="24"/>
          <w:shd w:val="clear" w:color="auto" w:fill="auto"/>
          <w:lang w:eastAsia="ru-RU" w:bidi="ar"/>
        </w:rPr>
        <w:t xml:space="preserve">and then assess the influence of mineralogical composition, pH, fraction size (surface area) on </w:t>
      </w:r>
      <w:r>
        <w:rPr>
          <w:rFonts w:ascii="Times New Roman" w:hAnsi="Times New Roman" w:eastAsia="Times New Roman" w:cs="Times New Roman"/>
          <w:color w:val="000000"/>
          <w:kern w:val="0"/>
          <w:sz w:val="24"/>
          <w:szCs w:val="24"/>
          <w:highlight w:val="none"/>
          <w:shd w:val="clear" w:color="auto" w:fill="auto"/>
          <w:lang w:eastAsia="ru-RU" w:bidi="ar"/>
        </w:rPr>
        <w:t>Pu</w:t>
      </w:r>
      <w:r>
        <w:rPr>
          <w:rFonts w:ascii="Times New Roman" w:hAnsi="Times New Roman" w:eastAsia="Times New Roman" w:cs="Times New Roman"/>
          <w:color w:val="000000"/>
          <w:kern w:val="0"/>
          <w:sz w:val="24"/>
          <w:highlight w:val="none"/>
          <w:lang w:eastAsia="ru-RU" w:bidi="ar"/>
        </w:rPr>
        <w:t xml:space="preserve"> </w:t>
      </w:r>
      <w:r>
        <w:rPr>
          <w:rFonts w:ascii="Times New Roman" w:hAnsi="Times New Roman" w:eastAsia="Times New Roman" w:cs="Times New Roman"/>
          <w:color w:val="000000"/>
          <w:kern w:val="0"/>
          <w:sz w:val="24"/>
          <w:szCs w:val="24"/>
          <w:highlight w:val="none"/>
          <w:shd w:val="clear" w:color="auto" w:fill="auto"/>
          <w:lang w:eastAsia="ru-RU" w:bidi="ar"/>
        </w:rPr>
        <w:t>retention</w:t>
      </w:r>
      <w:r>
        <w:rPr>
          <w:rFonts w:ascii="Times New Roman" w:hAnsi="Times New Roman" w:eastAsia="Times New Roman" w:cs="Times New Roman"/>
          <w:color w:val="000000"/>
          <w:kern w:val="0"/>
          <w:sz w:val="24"/>
          <w:szCs w:val="24"/>
          <w:shd w:val="clear" w:color="auto" w:fill="auto"/>
          <w:lang w:eastAsia="ru-RU" w:bidi="ar"/>
        </w:rPr>
        <w:t xml:space="preserve">. </w:t>
      </w:r>
    </w:p>
    <w:p w14:paraId="37371DDA">
      <w:pPr>
        <w:widowControl/>
        <w:shd w:val="clear" w:color="auto" w:fill="FFFFFF"/>
        <w:ind w:firstLine="397"/>
        <w:rPr>
          <w:rStyle w:val="7"/>
          <w:rFonts w:ascii="Helvetica Neue" w:hAnsi="Helvetica Neue" w:eastAsia="Helvetica Neue" w:cs="Helvetica Neue"/>
          <w:bCs/>
          <w:color w:val="0F1115"/>
          <w:kern w:val="0"/>
          <w:sz w:val="32"/>
          <w:szCs w:val="32"/>
          <w:shd w:val="clear" w:color="auto" w:fill="FFFFFF"/>
          <w:lang w:bidi="ar"/>
        </w:rPr>
      </w:pPr>
      <w:r>
        <w:rPr>
          <w:rFonts w:ascii="Times New Roman" w:hAnsi="Times New Roman" w:eastAsia="Times New Roman" w:cs="Times New Roman"/>
          <w:color w:val="000000"/>
          <w:kern w:val="0"/>
          <w:sz w:val="24"/>
          <w:szCs w:val="24"/>
          <w:shd w:val="clear" w:color="auto" w:fill="auto"/>
          <w:lang w:eastAsia="ru-RU" w:bidi="ar"/>
        </w:rPr>
        <w:t xml:space="preserve">Results indicate substantial differences in sorption behavior between the two sites, with </w:t>
      </w:r>
      <w:r>
        <w:rPr>
          <w:rFonts w:ascii="Times New Roman" w:hAnsi="Times New Roman" w:eastAsia="Times New Roman" w:cs="Times New Roman"/>
          <w:color w:val="000000"/>
          <w:kern w:val="0"/>
          <w:sz w:val="24"/>
          <w:lang w:eastAsia="ru-RU" w:bidi="ar"/>
        </w:rPr>
        <w:t>fracture filling samples from Beishan demonstrating higher sorption capacities attributable to elevated clay mineral content and favorable surface complexation sites. Yeniseisky fracture filling samples exhibited moderate sorption characteristics influenced by the presence of secondary alteration products and fracture-infilling assemblages. But for rock samples, the soprtion results from Yeniseisky is better than Beishan. The findings provide critical insights for performance assessment models and contribute to the scientific basis for site selection criteria in deep geological disposal programs.</w:t>
      </w:r>
    </w:p>
    <w:p w14:paraId="75DB344C">
      <w:pPr>
        <w:rPr>
          <w:rFonts w:ascii="Arial" w:hAnsi="Arial" w:cs="Arial"/>
        </w:rPr>
      </w:pPr>
    </w:p>
    <w:sectPr>
      <w:pgSz w:w="11906" w:h="16838"/>
      <w:pgMar w:top="1134" w:right="1800"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Italic">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1A058"/>
    <w:rsid w:val="0000210E"/>
    <w:rsid w:val="00476F2C"/>
    <w:rsid w:val="0050276C"/>
    <w:rsid w:val="00923E77"/>
    <w:rsid w:val="00C25530"/>
    <w:rsid w:val="00F94B11"/>
    <w:rsid w:val="12F72372"/>
    <w:rsid w:val="3CFE6AF6"/>
    <w:rsid w:val="3D6B89CD"/>
    <w:rsid w:val="3DB1A058"/>
    <w:rsid w:val="58BFD2AF"/>
    <w:rsid w:val="593B8538"/>
    <w:rsid w:val="5BFB07C8"/>
    <w:rsid w:val="7FBEA124"/>
    <w:rsid w:val="A55FBC4A"/>
    <w:rsid w:val="DD4CB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rPr>
      <w:sz w:val="20"/>
      <w:szCs w:val="20"/>
    </w:rPr>
  </w:style>
  <w:style w:type="paragraph" w:styleId="3">
    <w:name w:val="Normal (Web)"/>
    <w:basedOn w:val="1"/>
    <w:uiPriority w:val="0"/>
    <w:pPr>
      <w:spacing w:beforeAutospacing="1" w:afterAutospacing="1"/>
      <w:jc w:val="left"/>
    </w:pPr>
    <w:rPr>
      <w:rFonts w:cs="Times New Roman"/>
      <w:kern w:val="0"/>
      <w:sz w:val="24"/>
    </w:rPr>
  </w:style>
  <w:style w:type="paragraph" w:styleId="4">
    <w:name w:val="annotation subject"/>
    <w:basedOn w:val="2"/>
    <w:next w:val="2"/>
    <w:link w:val="12"/>
    <w:uiPriority w:val="0"/>
    <w:rPr>
      <w:b/>
      <w:bCs/>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styleId="9">
    <w:name w:val="annotation reference"/>
    <w:basedOn w:val="6"/>
    <w:uiPriority w:val="0"/>
    <w:rPr>
      <w:sz w:val="16"/>
      <w:szCs w:val="16"/>
    </w:rPr>
  </w:style>
  <w:style w:type="paragraph" w:customStyle="1" w:styleId="10">
    <w:name w:val="Рецензия1"/>
    <w:hidden/>
    <w:unhideWhenUsed/>
    <w:uiPriority w:val="99"/>
    <w:rPr>
      <w:rFonts w:asciiTheme="minorHAnsi" w:hAnsiTheme="minorHAnsi" w:eastAsiaTheme="minorEastAsia" w:cstheme="minorBidi"/>
      <w:kern w:val="2"/>
      <w:sz w:val="21"/>
      <w:szCs w:val="24"/>
      <w:lang w:val="en-US" w:eastAsia="zh-CN" w:bidi="ar-SA"/>
    </w:rPr>
  </w:style>
  <w:style w:type="character" w:customStyle="1" w:styleId="11">
    <w:name w:val="Текст примечания Знак"/>
    <w:basedOn w:val="6"/>
    <w:link w:val="2"/>
    <w:uiPriority w:val="0"/>
    <w:rPr>
      <w:rFonts w:asciiTheme="minorHAnsi" w:hAnsiTheme="minorHAnsi" w:eastAsiaTheme="minorEastAsia" w:cstheme="minorBidi"/>
      <w:kern w:val="2"/>
      <w:lang w:val="en-US" w:eastAsia="zh-CN"/>
    </w:rPr>
  </w:style>
  <w:style w:type="character" w:customStyle="1" w:styleId="12">
    <w:name w:val="Тема примечания Знак"/>
    <w:basedOn w:val="11"/>
    <w:link w:val="4"/>
    <w:uiPriority w:val="0"/>
    <w:rPr>
      <w:rFonts w:asciiTheme="minorHAnsi" w:hAnsiTheme="minorHAnsi" w:eastAsiaTheme="minorEastAsia" w:cstheme="minorBidi"/>
      <w:b/>
      <w:bCs/>
      <w:kern w:val="2"/>
      <w:lang w:val="en-US" w:eastAsia="zh-CN"/>
    </w:rPr>
  </w:style>
  <w:style w:type="paragraph" w:customStyle="1" w:styleId="13">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2400</Characters>
  <Lines>20</Lines>
  <Paragraphs>5</Paragraphs>
  <TotalTime>9</TotalTime>
  <ScaleCrop>false</ScaleCrop>
  <LinksUpToDate>false</LinksUpToDate>
  <CharactersWithSpaces>2816</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2026-03-06T19:50:00Z</dcterms:created>
  <dc:creator>Zed</dc:creator>
  <cp:lastModifiedBy>Zed</cp:lastModifiedBy>
  <dcterms:modified xsi:type="dcterms:W3CDTF">2026-03-20T16:47:23Z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8824D1C3BD87D9DA528AAA697A707FC3_41</vt:lpwstr>
  </property>
</Properties>
</file>