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B55FBB2" w:rsidR="00130241" w:rsidRPr="00282EB1" w:rsidRDefault="00282E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82EB1">
        <w:rPr>
          <w:b/>
          <w:color w:val="000000"/>
          <w:lang w:val="en-US"/>
        </w:rPr>
        <w:t xml:space="preserve">The </w:t>
      </w:r>
      <w:r w:rsidRPr="00282EB1">
        <w:rPr>
          <w:b/>
          <w:color w:val="000000"/>
          <w:lang w:val="en-US"/>
        </w:rPr>
        <w:t>stability constants prediction of thorium complexes based on machine learning methods</w:t>
      </w:r>
    </w:p>
    <w:p w14:paraId="00000002" w14:textId="61521EDC" w:rsidR="00130241" w:rsidRDefault="00282E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82EB1">
        <w:rPr>
          <w:b/>
          <w:i/>
          <w:color w:val="000000"/>
        </w:rPr>
        <w:t>Feng Shide</w:t>
      </w:r>
    </w:p>
    <w:p w14:paraId="00000003" w14:textId="3F01AD5F" w:rsidR="00130241" w:rsidRPr="00282EB1" w:rsidRDefault="00282E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>PhD</w:t>
      </w:r>
      <w:r w:rsidRPr="00282EB1">
        <w:rPr>
          <w:i/>
          <w:color w:val="000000"/>
          <w:lang w:val="en-US"/>
        </w:rPr>
        <w:t xml:space="preserve"> </w:t>
      </w:r>
      <w:r>
        <w:rPr>
          <w:i/>
          <w:color w:val="000000"/>
          <w:lang w:val="en-US"/>
        </w:rPr>
        <w:t>Student</w:t>
      </w:r>
      <w:r w:rsidR="00EB1F49" w:rsidRPr="00282EB1">
        <w:rPr>
          <w:i/>
          <w:color w:val="000000"/>
          <w:lang w:val="en-US"/>
        </w:rPr>
        <w:t xml:space="preserve">, </w:t>
      </w:r>
      <w:r>
        <w:rPr>
          <w:i/>
          <w:color w:val="000000"/>
          <w:lang w:val="en-US"/>
        </w:rPr>
        <w:t>2</w:t>
      </w:r>
      <w:r w:rsidRPr="00282EB1">
        <w:rPr>
          <w:i/>
          <w:color w:val="000000"/>
          <w:vertAlign w:val="superscript"/>
          <w:lang w:val="en-US"/>
        </w:rPr>
        <w:t>nd</w:t>
      </w:r>
      <w:r>
        <w:rPr>
          <w:i/>
          <w:color w:val="000000"/>
          <w:lang w:val="en-US"/>
        </w:rPr>
        <w:t xml:space="preserve"> year</w:t>
      </w:r>
    </w:p>
    <w:p w14:paraId="31C8A265" w14:textId="77777777" w:rsidR="00282EB1" w:rsidRPr="00282EB1" w:rsidRDefault="00282EB1" w:rsidP="00282E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282EB1">
        <w:rPr>
          <w:i/>
          <w:color w:val="000000"/>
          <w:lang w:val="en-US"/>
        </w:rPr>
        <w:t>Chemistry Department, Shenzhen MSU-BIT University</w:t>
      </w:r>
    </w:p>
    <w:p w14:paraId="790AD8DA" w14:textId="77777777" w:rsidR="00282EB1" w:rsidRPr="00282EB1" w:rsidRDefault="00282EB1" w:rsidP="00282E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282EB1">
        <w:rPr>
          <w:i/>
          <w:color w:val="000000"/>
          <w:lang w:val="en-US"/>
        </w:rPr>
        <w:t>No. 1 International University Park Road, Longgang District</w:t>
      </w:r>
    </w:p>
    <w:p w14:paraId="00000007" w14:textId="0B53F217" w:rsidR="00130241" w:rsidRPr="000E334E" w:rsidRDefault="00282EB1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82EB1">
        <w:rPr>
          <w:i/>
          <w:color w:val="000000"/>
        </w:rPr>
        <w:t>Shenzhen 518172, Guangdong, China</w:t>
      </w:r>
      <w:r w:rsidRPr="00282EB1">
        <w:rPr>
          <w:i/>
          <w:color w:val="000000"/>
        </w:rPr>
        <w:t xml:space="preserve"> </w:t>
      </w:r>
    </w:p>
    <w:p w14:paraId="00000008" w14:textId="6CC547BE" w:rsidR="00130241" w:rsidRPr="00282EB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282EB1" w:rsidRPr="00282EB1">
        <w:rPr>
          <w:i/>
          <w:iCs/>
        </w:rPr>
        <w:t>sf373847724@outlook.com</w:t>
      </w:r>
    </w:p>
    <w:p w14:paraId="15107357" w14:textId="326BE204" w:rsidR="003D122A" w:rsidRPr="003D122A" w:rsidRDefault="003D122A" w:rsidP="003D12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3D122A">
        <w:rPr>
          <w:color w:val="000000"/>
          <w:lang w:val="en-US"/>
        </w:rPr>
        <w:t xml:space="preserve">In recent years, the machine learning </w:t>
      </w:r>
      <w:r>
        <w:rPr>
          <w:color w:val="000000"/>
          <w:lang w:val="en-US"/>
        </w:rPr>
        <w:t>m</w:t>
      </w:r>
      <w:r w:rsidRPr="003D122A">
        <w:rPr>
          <w:color w:val="000000"/>
          <w:lang w:val="en-US"/>
        </w:rPr>
        <w:t>ethod is applied for the ligands research, it is more efficient than the DFT system during the selection processes. The random forest method is applied in this work.</w:t>
      </w:r>
    </w:p>
    <w:p w14:paraId="33257DDD" w14:textId="4A81B9A6" w:rsidR="003D122A" w:rsidRPr="003D122A" w:rsidRDefault="003D122A" w:rsidP="003D12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3D122A">
        <w:rPr>
          <w:color w:val="000000"/>
          <w:lang w:val="en-US"/>
        </w:rPr>
        <w:t xml:space="preserve">Recent research shows that there are successful cases for prediction of ligand, the scholars in the world work in different angles such as large dataset research </w:t>
      </w:r>
      <w:r>
        <w:rPr>
          <w:color w:val="000000"/>
          <w:lang w:val="en-US"/>
        </w:rPr>
        <w:t>[1]</w:t>
      </w:r>
      <w:r w:rsidRPr="003D122A">
        <w:rPr>
          <w:color w:val="000000"/>
          <w:lang w:val="en-US"/>
        </w:rPr>
        <w:t xml:space="preserve">, feature engineering </w:t>
      </w:r>
      <w:r>
        <w:rPr>
          <w:color w:val="000000"/>
          <w:lang w:val="en-US"/>
        </w:rPr>
        <w:t>[2]</w:t>
      </w:r>
      <w:r w:rsidRPr="003D122A">
        <w:rPr>
          <w:color w:val="000000"/>
          <w:lang w:val="en-US"/>
        </w:rPr>
        <w:t xml:space="preserve"> optimization of algorithm </w:t>
      </w:r>
      <w:r>
        <w:rPr>
          <w:color w:val="000000"/>
          <w:lang w:val="en-US"/>
        </w:rPr>
        <w:t>[1, 3].</w:t>
      </w:r>
    </w:p>
    <w:p w14:paraId="405A5609" w14:textId="2D57E136" w:rsidR="003D122A" w:rsidRPr="003D122A" w:rsidRDefault="003D122A" w:rsidP="003D12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3D122A">
        <w:rPr>
          <w:color w:val="000000"/>
          <w:lang w:val="en-US"/>
        </w:rPr>
        <w:t xml:space="preserve">The data set contains 119 samples of LogK, the range is between 0.18 to 41.72. The sample </w:t>
      </w:r>
      <w:r w:rsidR="00EA23B8">
        <w:rPr>
          <w:color w:val="000000"/>
          <w:lang w:val="en-US"/>
        </w:rPr>
        <w:t>i</w:t>
      </w:r>
      <w:r w:rsidRPr="003D122A">
        <w:rPr>
          <w:color w:val="000000"/>
          <w:lang w:val="en-US"/>
        </w:rPr>
        <w:t>s divided in three parts, 60% of data is training data group, 20% of data is validation group, 20% of data is test group. About the parameters of the model, the n estimator is 50, maximum depth of tress is 5, minimum sample split is 10.</w:t>
      </w:r>
    </w:p>
    <w:p w14:paraId="022FC08C" w14:textId="32ED6FBE" w:rsidR="00A02163" w:rsidRDefault="003D122A" w:rsidP="003D12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3D122A">
        <w:rPr>
          <w:color w:val="000000"/>
          <w:lang w:val="en-US"/>
        </w:rPr>
        <w:t xml:space="preserve">The results show appliable ability of prediction, the R² of Training data group is 0.83, the R² of the validation data group is 067, the R² of the test data group is 0.71, the MAE is between 2.08 to 2.81, the stability of the prediction </w:t>
      </w:r>
      <w:r w:rsidR="00F56688">
        <w:rPr>
          <w:color w:val="000000"/>
          <w:lang w:val="en-US"/>
        </w:rPr>
        <w:t>i</w:t>
      </w:r>
      <w:r w:rsidRPr="003D122A">
        <w:rPr>
          <w:color w:val="000000"/>
          <w:lang w:val="en-US"/>
        </w:rPr>
        <w:t xml:space="preserve">s relatively accurate based on the small data set. The MAPE is high, because there are some samples that are very close to 0. </w:t>
      </w:r>
      <w:r w:rsidRPr="003D122A">
        <w:rPr>
          <w:color w:val="000000"/>
        </w:rPr>
        <w:t>Δ</w:t>
      </w:r>
      <w:r w:rsidRPr="003D122A">
        <w:rPr>
          <w:color w:val="000000"/>
          <w:lang w:val="en-US"/>
        </w:rPr>
        <w:t>R² is 0.11, although it is a very slight overfitting issues, but it is common for small samples size dataset. The residuals distribution is close to the center, there is no sign of Heteroskedasticity.</w:t>
      </w:r>
    </w:p>
    <w:p w14:paraId="4958DF97" w14:textId="77777777" w:rsidR="00CB796D" w:rsidRDefault="00CB796D" w:rsidP="003D12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p w14:paraId="06482BE3" w14:textId="19C85A8A" w:rsidR="0030296C" w:rsidRDefault="0030296C" w:rsidP="00CB79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A4A70">
        <w:rPr>
          <w:noProof/>
        </w:rPr>
        <w:drawing>
          <wp:inline distT="0" distB="0" distL="0" distR="0" wp14:anchorId="36462704" wp14:editId="2F97D7C0">
            <wp:extent cx="5791667" cy="1897039"/>
            <wp:effectExtent l="0" t="0" r="0" b="8255"/>
            <wp:docPr id="1179931023" name="图片 1" descr="图表, 散点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931023" name="图片 1" descr="图表, 散点图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9634" cy="189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FA9CA" w14:textId="3D3A945C" w:rsidR="0030296C" w:rsidRPr="0030296C" w:rsidRDefault="0030296C" w:rsidP="003029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lang w:val="en-US"/>
        </w:rPr>
        <w:t>Fig.</w:t>
      </w:r>
      <w:r w:rsidRPr="0030296C">
        <w:rPr>
          <w:rFonts w:hint="eastAsia"/>
          <w:lang w:val="en-US"/>
        </w:rPr>
        <w:t xml:space="preserve"> </w:t>
      </w:r>
      <w:r>
        <w:rPr>
          <w:lang w:val="en-US"/>
        </w:rPr>
        <w:t>1.</w:t>
      </w:r>
      <w:r w:rsidRPr="0030296C">
        <w:rPr>
          <w:rFonts w:hint="eastAsia"/>
          <w:lang w:val="en-US"/>
        </w:rPr>
        <w:t xml:space="preserve"> </w:t>
      </w:r>
      <w:r w:rsidR="00CB796D">
        <w:rPr>
          <w:lang w:val="en-US"/>
        </w:rPr>
        <w:t>T</w:t>
      </w:r>
      <w:r w:rsidRPr="0030296C">
        <w:rPr>
          <w:rFonts w:hint="eastAsia"/>
          <w:lang w:val="en-US"/>
        </w:rPr>
        <w:t xml:space="preserve">he comparison of </w:t>
      </w:r>
      <w:r w:rsidR="00E3600B">
        <w:rPr>
          <w:lang w:val="en-US"/>
        </w:rPr>
        <w:t>a</w:t>
      </w:r>
      <w:r w:rsidRPr="0030296C">
        <w:rPr>
          <w:rFonts w:hint="eastAsia"/>
          <w:lang w:val="en-US"/>
        </w:rPr>
        <w:t xml:space="preserve">ctual values and </w:t>
      </w:r>
      <w:r w:rsidR="00E3600B">
        <w:rPr>
          <w:lang w:val="en-US"/>
        </w:rPr>
        <w:t>p</w:t>
      </w:r>
      <w:r w:rsidRPr="0030296C">
        <w:rPr>
          <w:rFonts w:hint="eastAsia"/>
          <w:lang w:val="en-US"/>
        </w:rPr>
        <w:t>redicted values</w:t>
      </w:r>
      <w:r w:rsidR="00E3600B">
        <w:rPr>
          <w:lang w:val="en-US"/>
        </w:rPr>
        <w:t xml:space="preserve"> of stability constants.</w:t>
      </w:r>
    </w:p>
    <w:p w14:paraId="08367FE0" w14:textId="77777777" w:rsidR="00CB796D" w:rsidRDefault="00CB796D" w:rsidP="003D12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p w14:paraId="17AAF9D5" w14:textId="6F3CBD49" w:rsidR="00F56688" w:rsidRPr="0030296C" w:rsidRDefault="00F56688" w:rsidP="003D12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30296C">
        <w:rPr>
          <w:color w:val="000000"/>
          <w:lang w:val="en-US"/>
        </w:rPr>
        <w:t>In general, although the dataset is small, this model is applicable for selection, the optimization work will be conducted in the future.</w:t>
      </w:r>
    </w:p>
    <w:p w14:paraId="0000000E" w14:textId="53B4FE80" w:rsidR="00130241" w:rsidRPr="00EA23B8" w:rsidRDefault="00EA23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  <w:lang w:val="en-US"/>
        </w:rPr>
        <w:t>Literature</w:t>
      </w:r>
    </w:p>
    <w:p w14:paraId="78B2062F" w14:textId="5F3B65B7" w:rsidR="00EA23B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EA23B8" w:rsidRPr="00EA23B8">
        <w:rPr>
          <w:color w:val="000000"/>
          <w:lang w:val="en-US"/>
        </w:rPr>
        <w:t>Zhang Q., Wang H., Liu Z., Hao Z., Liao W. Predicting rare earth extraction efficiency with organophosphorus ligands: A data-driven machine learning approach</w:t>
      </w:r>
      <w:r w:rsidR="00EA23B8">
        <w:rPr>
          <w:color w:val="000000"/>
          <w:lang w:val="en-US"/>
        </w:rPr>
        <w:t xml:space="preserve"> //</w:t>
      </w:r>
      <w:r w:rsidR="00EA23B8" w:rsidRPr="00EA23B8">
        <w:rPr>
          <w:color w:val="000000"/>
          <w:lang w:val="en-US"/>
        </w:rPr>
        <w:t xml:space="preserve"> Journal of Rare Earths.</w:t>
      </w:r>
      <w:r w:rsidR="00EA23B8">
        <w:rPr>
          <w:color w:val="000000"/>
          <w:lang w:val="en-US"/>
        </w:rPr>
        <w:t xml:space="preserve"> 2025</w:t>
      </w:r>
    </w:p>
    <w:p w14:paraId="0E3B0403" w14:textId="7D770A2E" w:rsidR="00EA23B8" w:rsidRDefault="00EA23B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EA23B8">
        <w:rPr>
          <w:color w:val="000000"/>
          <w:lang w:val="en-US"/>
        </w:rPr>
        <w:t>Chaube S., Goverapet Srinivasan S., Rai B. Applied machine learning for predicting the lanthanide-ligand binding affinities</w:t>
      </w:r>
      <w:r w:rsidR="00F56688">
        <w:rPr>
          <w:color w:val="000000"/>
          <w:lang w:val="en-US"/>
        </w:rPr>
        <w:t xml:space="preserve"> //</w:t>
      </w:r>
      <w:r w:rsidRPr="00EA23B8">
        <w:rPr>
          <w:color w:val="000000"/>
          <w:lang w:val="en-US"/>
        </w:rPr>
        <w:t xml:space="preserve"> Scientific reports</w:t>
      </w:r>
      <w:r w:rsidR="00F56688">
        <w:rPr>
          <w:color w:val="000000"/>
          <w:lang w:val="en-US"/>
        </w:rPr>
        <w:t>. 2020. Vol.</w:t>
      </w:r>
      <w:r w:rsidRPr="00EA23B8">
        <w:rPr>
          <w:color w:val="000000"/>
          <w:lang w:val="en-US"/>
        </w:rPr>
        <w:t xml:space="preserve"> 10(1)</w:t>
      </w:r>
      <w:r w:rsidR="00F56688">
        <w:rPr>
          <w:color w:val="000000"/>
          <w:lang w:val="en-US"/>
        </w:rPr>
        <w:t>.</w:t>
      </w:r>
      <w:r w:rsidRPr="00EA23B8">
        <w:rPr>
          <w:color w:val="000000"/>
          <w:lang w:val="en-US"/>
        </w:rPr>
        <w:t xml:space="preserve"> </w:t>
      </w:r>
      <w:r w:rsidR="00F56688">
        <w:rPr>
          <w:color w:val="000000"/>
          <w:lang w:val="en-US"/>
        </w:rPr>
        <w:t xml:space="preserve">P. </w:t>
      </w:r>
      <w:r w:rsidRPr="00EA23B8">
        <w:rPr>
          <w:color w:val="000000"/>
          <w:lang w:val="en-US"/>
        </w:rPr>
        <w:t>14322.</w:t>
      </w:r>
    </w:p>
    <w:p w14:paraId="3486C755" w14:textId="6DB0F12F" w:rsidR="00116478" w:rsidRPr="00107AA3" w:rsidRDefault="00F5668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="00107AA3" w:rsidRPr="00E81D35">
        <w:rPr>
          <w:color w:val="000000"/>
          <w:lang w:val="en-US"/>
        </w:rPr>
        <w:t xml:space="preserve">. </w:t>
      </w:r>
      <w:r w:rsidRPr="00F56688">
        <w:rPr>
          <w:noProof/>
          <w:lang w:val="en-US"/>
        </w:rPr>
        <w:t>Park K. C., Lim J., Thaggard G. C., Shustova N. B. Mining for Metal–Organic Systems: Chemistry Frontiers of Th-, U-, and Zr-Materials</w:t>
      </w:r>
      <w:r>
        <w:rPr>
          <w:noProof/>
          <w:lang w:val="en-US"/>
        </w:rPr>
        <w:t xml:space="preserve"> //</w:t>
      </w:r>
      <w:r w:rsidRPr="00F56688">
        <w:rPr>
          <w:noProof/>
          <w:lang w:val="en-US"/>
        </w:rPr>
        <w:t xml:space="preserve"> Journal of the American Chemical Society</w:t>
      </w:r>
      <w:r>
        <w:rPr>
          <w:noProof/>
          <w:lang w:val="en-US"/>
        </w:rPr>
        <w:t>. 2024. Vol.</w:t>
      </w:r>
      <w:r w:rsidRPr="00F56688">
        <w:rPr>
          <w:noProof/>
          <w:lang w:val="en-US"/>
        </w:rPr>
        <w:t xml:space="preserve"> 146(27)</w:t>
      </w:r>
      <w:r>
        <w:rPr>
          <w:noProof/>
          <w:lang w:val="en-US"/>
        </w:rPr>
        <w:t>. P.</w:t>
      </w:r>
      <w:r w:rsidRPr="00F56688">
        <w:rPr>
          <w:noProof/>
          <w:lang w:val="en-US"/>
        </w:rPr>
        <w:t xml:space="preserve"> 18189-18204.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82EB1"/>
    <w:rsid w:val="002B1CD0"/>
    <w:rsid w:val="0030296C"/>
    <w:rsid w:val="0031361E"/>
    <w:rsid w:val="00344930"/>
    <w:rsid w:val="00373E2D"/>
    <w:rsid w:val="00391C38"/>
    <w:rsid w:val="003B76D6"/>
    <w:rsid w:val="003D09AD"/>
    <w:rsid w:val="003D122A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2434"/>
    <w:rsid w:val="00C844E2"/>
    <w:rsid w:val="00CB796D"/>
    <w:rsid w:val="00CD00B1"/>
    <w:rsid w:val="00D22306"/>
    <w:rsid w:val="00D37D84"/>
    <w:rsid w:val="00D42542"/>
    <w:rsid w:val="00D8121C"/>
    <w:rsid w:val="00DD47C4"/>
    <w:rsid w:val="00E22189"/>
    <w:rsid w:val="00E3600B"/>
    <w:rsid w:val="00E74069"/>
    <w:rsid w:val="00E81D35"/>
    <w:rsid w:val="00EA23B8"/>
    <w:rsid w:val="00EB1F49"/>
    <w:rsid w:val="00F55054"/>
    <w:rsid w:val="00F56688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Petrov</dc:creator>
  <cp:lastModifiedBy>Vladimir Petrov</cp:lastModifiedBy>
  <cp:revision>3</cp:revision>
  <cp:lastPrinted>2026-01-28T14:24:00Z</cp:lastPrinted>
  <dcterms:created xsi:type="dcterms:W3CDTF">2026-03-01T18:40:00Z</dcterms:created>
  <dcterms:modified xsi:type="dcterms:W3CDTF">2026-03-01T18:41:00Z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