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EE01" w14:textId="3396F4D1" w:rsidR="00841B71" w:rsidRPr="003020F0" w:rsidRDefault="00A5710E" w:rsidP="00A5710E">
      <w:pPr>
        <w:pStyle w:val="a3"/>
        <w:jc w:val="center"/>
        <w:rPr>
          <w:b/>
          <w:bCs/>
          <w:szCs w:val="24"/>
        </w:rPr>
      </w:pPr>
      <w:r w:rsidRPr="003020F0">
        <w:rPr>
          <w:b/>
          <w:bCs/>
          <w:szCs w:val="24"/>
        </w:rPr>
        <w:t>Новый метод синтеза 2,3-дигидробензо-1</w:t>
      </w:r>
      <w:r w:rsidRPr="003020F0">
        <w:rPr>
          <w:b/>
          <w:bCs/>
          <w:i/>
          <w:szCs w:val="24"/>
        </w:rPr>
        <w:t>Н</w:t>
      </w:r>
      <w:r w:rsidRPr="003020F0">
        <w:rPr>
          <w:b/>
          <w:bCs/>
          <w:szCs w:val="24"/>
        </w:rPr>
        <w:t>-бензо[</w:t>
      </w:r>
      <w:r w:rsidRPr="003020F0">
        <w:rPr>
          <w:b/>
          <w:bCs/>
          <w:i/>
          <w:szCs w:val="24"/>
        </w:rPr>
        <w:t>d</w:t>
      </w:r>
      <w:r w:rsidRPr="003020F0">
        <w:rPr>
          <w:b/>
          <w:bCs/>
          <w:szCs w:val="24"/>
        </w:rPr>
        <w:t>]</w:t>
      </w:r>
      <w:proofErr w:type="spellStart"/>
      <w:r w:rsidRPr="003020F0">
        <w:rPr>
          <w:b/>
          <w:bCs/>
          <w:szCs w:val="24"/>
        </w:rPr>
        <w:t>пирроло</w:t>
      </w:r>
      <w:proofErr w:type="spellEnd"/>
      <w:r w:rsidRPr="003020F0">
        <w:rPr>
          <w:b/>
          <w:bCs/>
          <w:szCs w:val="24"/>
        </w:rPr>
        <w:t>[1,2-</w:t>
      </w:r>
      <w:proofErr w:type="gramStart"/>
      <w:r w:rsidRPr="003020F0">
        <w:rPr>
          <w:b/>
          <w:bCs/>
          <w:i/>
          <w:szCs w:val="24"/>
        </w:rPr>
        <w:t>а</w:t>
      </w:r>
      <w:r w:rsidRPr="003020F0">
        <w:rPr>
          <w:b/>
          <w:bCs/>
          <w:szCs w:val="24"/>
        </w:rPr>
        <w:t>]имидазолов</w:t>
      </w:r>
      <w:proofErr w:type="gramEnd"/>
    </w:p>
    <w:p w14:paraId="0D852E26" w14:textId="05D766FF" w:rsidR="00A5710E" w:rsidRPr="003020F0" w:rsidRDefault="00B80F93" w:rsidP="00A5710E">
      <w:pPr>
        <w:pStyle w:val="a3"/>
        <w:jc w:val="center"/>
        <w:rPr>
          <w:b/>
          <w:bCs/>
          <w:szCs w:val="24"/>
        </w:rPr>
      </w:pPr>
      <w:r w:rsidRPr="003020F0">
        <w:rPr>
          <w:b/>
          <w:bCs/>
          <w:szCs w:val="24"/>
        </w:rPr>
        <w:t xml:space="preserve">и их </w:t>
      </w:r>
      <w:proofErr w:type="spellStart"/>
      <w:r w:rsidRPr="003020F0">
        <w:rPr>
          <w:b/>
          <w:bCs/>
          <w:szCs w:val="24"/>
        </w:rPr>
        <w:t>митостатические</w:t>
      </w:r>
      <w:proofErr w:type="spellEnd"/>
      <w:r w:rsidRPr="003020F0">
        <w:rPr>
          <w:b/>
          <w:bCs/>
          <w:szCs w:val="24"/>
        </w:rPr>
        <w:t xml:space="preserve"> свойства</w:t>
      </w:r>
    </w:p>
    <w:p w14:paraId="3ED3CE6E" w14:textId="77777777" w:rsidR="00841B71" w:rsidRPr="003020F0" w:rsidRDefault="00A5710E" w:rsidP="00A5710E">
      <w:pPr>
        <w:pStyle w:val="a3"/>
        <w:jc w:val="center"/>
        <w:rPr>
          <w:b/>
          <w:bCs/>
          <w:i/>
          <w:iCs/>
          <w:szCs w:val="24"/>
        </w:rPr>
      </w:pPr>
      <w:r w:rsidRPr="003020F0">
        <w:rPr>
          <w:b/>
          <w:bCs/>
          <w:i/>
          <w:iCs/>
          <w:szCs w:val="24"/>
        </w:rPr>
        <w:t>Сивачев А.А.</w:t>
      </w:r>
      <w:r w:rsidR="003E5D57" w:rsidRPr="003020F0">
        <w:rPr>
          <w:b/>
          <w:i/>
          <w:color w:val="000000"/>
          <w:szCs w:val="24"/>
          <w:vertAlign w:val="superscript"/>
        </w:rPr>
        <w:t>1</w:t>
      </w:r>
      <w:r w:rsidRPr="003020F0">
        <w:rPr>
          <w:b/>
          <w:bCs/>
          <w:i/>
          <w:iCs/>
          <w:szCs w:val="24"/>
        </w:rPr>
        <w:t xml:space="preserve">, </w:t>
      </w:r>
      <w:proofErr w:type="spellStart"/>
      <w:r w:rsidRPr="003020F0">
        <w:rPr>
          <w:b/>
          <w:bCs/>
          <w:i/>
          <w:iCs/>
          <w:szCs w:val="24"/>
        </w:rPr>
        <w:t>Гаязов</w:t>
      </w:r>
      <w:proofErr w:type="spellEnd"/>
      <w:r w:rsidRPr="003020F0">
        <w:rPr>
          <w:b/>
          <w:bCs/>
          <w:i/>
          <w:iCs/>
          <w:szCs w:val="24"/>
        </w:rPr>
        <w:t xml:space="preserve"> Э.Р.</w:t>
      </w:r>
      <w:r w:rsidR="003E5D57" w:rsidRPr="003020F0">
        <w:rPr>
          <w:b/>
          <w:i/>
          <w:color w:val="000000"/>
          <w:szCs w:val="24"/>
          <w:vertAlign w:val="superscript"/>
        </w:rPr>
        <w:t>1</w:t>
      </w:r>
      <w:r w:rsidR="003E5D57" w:rsidRPr="003020F0">
        <w:rPr>
          <w:b/>
          <w:bCs/>
          <w:i/>
          <w:iCs/>
          <w:szCs w:val="24"/>
        </w:rPr>
        <w:t>,</w:t>
      </w:r>
      <w:r w:rsidRPr="003020F0">
        <w:rPr>
          <w:b/>
          <w:bCs/>
          <w:i/>
          <w:iCs/>
          <w:szCs w:val="24"/>
        </w:rPr>
        <w:t xml:space="preserve"> Трефилова Е.А.</w:t>
      </w:r>
      <w:r w:rsidR="003E5D57" w:rsidRPr="003020F0">
        <w:rPr>
          <w:b/>
          <w:i/>
          <w:color w:val="000000"/>
          <w:szCs w:val="24"/>
          <w:vertAlign w:val="superscript"/>
        </w:rPr>
        <w:t>1</w:t>
      </w:r>
      <w:r w:rsidR="003E5D57" w:rsidRPr="003020F0">
        <w:rPr>
          <w:b/>
          <w:bCs/>
          <w:i/>
          <w:iCs/>
          <w:szCs w:val="24"/>
        </w:rPr>
        <w:t>,</w:t>
      </w:r>
      <w:r w:rsidRPr="003020F0">
        <w:rPr>
          <w:b/>
          <w:bCs/>
          <w:i/>
          <w:iCs/>
          <w:szCs w:val="24"/>
        </w:rPr>
        <w:t xml:space="preserve"> Бойченко М.А.</w:t>
      </w:r>
      <w:r w:rsidR="003E5D57" w:rsidRPr="003020F0">
        <w:rPr>
          <w:b/>
          <w:i/>
          <w:color w:val="000000"/>
          <w:szCs w:val="24"/>
          <w:vertAlign w:val="superscript"/>
        </w:rPr>
        <w:t>1</w:t>
      </w:r>
      <w:r w:rsidR="003E5D57" w:rsidRPr="003020F0">
        <w:rPr>
          <w:b/>
          <w:bCs/>
          <w:i/>
          <w:iCs/>
          <w:szCs w:val="24"/>
        </w:rPr>
        <w:t>,</w:t>
      </w:r>
      <w:r w:rsidRPr="003020F0">
        <w:rPr>
          <w:b/>
          <w:bCs/>
          <w:i/>
          <w:iCs/>
          <w:szCs w:val="24"/>
        </w:rPr>
        <w:t xml:space="preserve"> </w:t>
      </w:r>
      <w:r w:rsidR="00841B71" w:rsidRPr="003020F0">
        <w:rPr>
          <w:b/>
          <w:bCs/>
          <w:i/>
          <w:iCs/>
          <w:szCs w:val="24"/>
        </w:rPr>
        <w:t>Жохов С.С.</w:t>
      </w:r>
      <w:r w:rsidR="00841B71" w:rsidRPr="003020F0">
        <w:rPr>
          <w:b/>
          <w:i/>
          <w:color w:val="000000"/>
          <w:szCs w:val="24"/>
          <w:vertAlign w:val="superscript"/>
        </w:rPr>
        <w:t>1</w:t>
      </w:r>
      <w:r w:rsidR="00841B71" w:rsidRPr="003020F0">
        <w:rPr>
          <w:b/>
          <w:bCs/>
          <w:i/>
          <w:iCs/>
          <w:szCs w:val="24"/>
        </w:rPr>
        <w:t xml:space="preserve">, </w:t>
      </w:r>
    </w:p>
    <w:p w14:paraId="494823E6" w14:textId="5EA31672" w:rsidR="00A5710E" w:rsidRPr="003020F0" w:rsidRDefault="003E5D57" w:rsidP="00A5710E">
      <w:pPr>
        <w:pStyle w:val="a3"/>
        <w:jc w:val="center"/>
        <w:rPr>
          <w:b/>
          <w:bCs/>
          <w:i/>
          <w:iCs/>
          <w:szCs w:val="24"/>
        </w:rPr>
      </w:pPr>
      <w:r w:rsidRPr="003020F0">
        <w:rPr>
          <w:b/>
          <w:bCs/>
          <w:i/>
          <w:iCs/>
          <w:szCs w:val="24"/>
        </w:rPr>
        <w:t>Ратманова Н.К.</w:t>
      </w:r>
      <w:r w:rsidRPr="003020F0">
        <w:rPr>
          <w:b/>
          <w:i/>
          <w:color w:val="000000"/>
          <w:szCs w:val="24"/>
          <w:vertAlign w:val="superscript"/>
        </w:rPr>
        <w:t>1</w:t>
      </w:r>
      <w:r w:rsidRPr="003020F0">
        <w:rPr>
          <w:b/>
          <w:bCs/>
          <w:i/>
          <w:iCs/>
          <w:szCs w:val="24"/>
        </w:rPr>
        <w:t>,</w:t>
      </w:r>
      <w:r w:rsidR="00B80F93" w:rsidRPr="003020F0">
        <w:rPr>
          <w:b/>
          <w:bCs/>
          <w:i/>
          <w:iCs/>
          <w:szCs w:val="24"/>
        </w:rPr>
        <w:t xml:space="preserve"> Андреев И.А.</w:t>
      </w:r>
      <w:r w:rsidRPr="003020F0">
        <w:rPr>
          <w:b/>
          <w:i/>
          <w:color w:val="000000"/>
          <w:szCs w:val="24"/>
          <w:vertAlign w:val="superscript"/>
        </w:rPr>
        <w:t>1</w:t>
      </w:r>
      <w:r w:rsidRPr="003020F0">
        <w:rPr>
          <w:b/>
          <w:bCs/>
          <w:i/>
          <w:iCs/>
          <w:szCs w:val="24"/>
        </w:rPr>
        <w:t xml:space="preserve">, </w:t>
      </w:r>
      <w:proofErr w:type="spellStart"/>
      <w:r w:rsidRPr="003020F0">
        <w:rPr>
          <w:b/>
          <w:bCs/>
          <w:i/>
          <w:iCs/>
          <w:szCs w:val="24"/>
        </w:rPr>
        <w:t>Гудимчук</w:t>
      </w:r>
      <w:proofErr w:type="spellEnd"/>
      <w:r w:rsidRPr="003020F0">
        <w:rPr>
          <w:b/>
          <w:bCs/>
          <w:i/>
          <w:iCs/>
          <w:szCs w:val="24"/>
        </w:rPr>
        <w:t xml:space="preserve"> Н.Б.</w:t>
      </w:r>
      <w:r w:rsidRPr="003020F0">
        <w:rPr>
          <w:b/>
          <w:i/>
          <w:color w:val="000000"/>
          <w:szCs w:val="24"/>
          <w:vertAlign w:val="superscript"/>
        </w:rPr>
        <w:t>2</w:t>
      </w:r>
      <w:r w:rsidRPr="003020F0">
        <w:rPr>
          <w:b/>
          <w:bCs/>
          <w:i/>
          <w:iCs/>
          <w:szCs w:val="24"/>
        </w:rPr>
        <w:t>,</w:t>
      </w:r>
      <w:r w:rsidR="00B80F93" w:rsidRPr="003020F0">
        <w:rPr>
          <w:b/>
          <w:bCs/>
          <w:i/>
          <w:iCs/>
          <w:szCs w:val="24"/>
        </w:rPr>
        <w:t xml:space="preserve"> </w:t>
      </w:r>
      <w:r w:rsidR="00A5710E" w:rsidRPr="003020F0">
        <w:rPr>
          <w:b/>
          <w:bCs/>
          <w:i/>
          <w:iCs/>
          <w:szCs w:val="24"/>
        </w:rPr>
        <w:t>Иванова О.А.</w:t>
      </w:r>
      <w:r w:rsidRPr="003020F0">
        <w:rPr>
          <w:b/>
          <w:i/>
          <w:color w:val="000000"/>
          <w:szCs w:val="24"/>
          <w:vertAlign w:val="superscript"/>
        </w:rPr>
        <w:t>1</w:t>
      </w:r>
    </w:p>
    <w:p w14:paraId="6F95FBF4" w14:textId="77777777" w:rsidR="00A5710E" w:rsidRPr="003020F0" w:rsidRDefault="00A5710E" w:rsidP="00A5710E">
      <w:pPr>
        <w:pStyle w:val="a3"/>
        <w:jc w:val="center"/>
        <w:rPr>
          <w:bCs/>
          <w:i/>
          <w:iCs/>
          <w:szCs w:val="24"/>
        </w:rPr>
      </w:pPr>
      <w:r w:rsidRPr="003020F0">
        <w:rPr>
          <w:bCs/>
          <w:i/>
          <w:iCs/>
          <w:szCs w:val="24"/>
        </w:rPr>
        <w:t>Студент, 6 курс специалитета</w:t>
      </w:r>
    </w:p>
    <w:p w14:paraId="67EFB1D4" w14:textId="5F552DB0" w:rsidR="00A5710E" w:rsidRPr="003020F0" w:rsidRDefault="003E5D57" w:rsidP="00A5710E">
      <w:pPr>
        <w:pStyle w:val="a3"/>
        <w:jc w:val="center"/>
        <w:rPr>
          <w:bCs/>
          <w:i/>
          <w:iCs/>
          <w:szCs w:val="24"/>
        </w:rPr>
      </w:pPr>
      <w:r w:rsidRPr="003020F0">
        <w:rPr>
          <w:bCs/>
          <w:i/>
          <w:iCs/>
          <w:szCs w:val="24"/>
          <w:vertAlign w:val="superscript"/>
        </w:rPr>
        <w:t>1</w:t>
      </w:r>
      <w:r w:rsidR="00A5710E" w:rsidRPr="003020F0">
        <w:rPr>
          <w:bCs/>
          <w:i/>
          <w:iCs/>
          <w:szCs w:val="24"/>
        </w:rPr>
        <w:t>МГУ имени М.В. Ломоносова, химический факультет, Москва, Россия</w:t>
      </w:r>
    </w:p>
    <w:p w14:paraId="56B901CD" w14:textId="6A50C490" w:rsidR="003E5D57" w:rsidRPr="003020F0" w:rsidRDefault="003E5D57" w:rsidP="00A5710E">
      <w:pPr>
        <w:pStyle w:val="a3"/>
        <w:jc w:val="center"/>
        <w:rPr>
          <w:bCs/>
          <w:i/>
          <w:iCs/>
          <w:szCs w:val="24"/>
        </w:rPr>
      </w:pPr>
      <w:r w:rsidRPr="003020F0">
        <w:rPr>
          <w:bCs/>
          <w:i/>
          <w:iCs/>
          <w:szCs w:val="24"/>
          <w:vertAlign w:val="superscript"/>
        </w:rPr>
        <w:t>2</w:t>
      </w:r>
      <w:r w:rsidRPr="003020F0">
        <w:rPr>
          <w:bCs/>
          <w:i/>
          <w:iCs/>
          <w:szCs w:val="24"/>
        </w:rPr>
        <w:t>МГУ имени М.В. Ломоносова, физический факультет, Москва, Россия</w:t>
      </w:r>
    </w:p>
    <w:p w14:paraId="71860B52" w14:textId="77777777" w:rsidR="00A5710E" w:rsidRPr="003020F0" w:rsidRDefault="00A5710E" w:rsidP="00A5710E">
      <w:pPr>
        <w:pStyle w:val="a3"/>
        <w:jc w:val="center"/>
        <w:rPr>
          <w:bCs/>
          <w:i/>
          <w:iCs/>
          <w:szCs w:val="24"/>
        </w:rPr>
      </w:pPr>
      <w:r w:rsidRPr="003020F0">
        <w:rPr>
          <w:bCs/>
          <w:i/>
          <w:iCs/>
          <w:szCs w:val="24"/>
          <w:lang w:val="en-US"/>
        </w:rPr>
        <w:t>E</w:t>
      </w:r>
      <w:r w:rsidRPr="003020F0">
        <w:rPr>
          <w:bCs/>
          <w:i/>
          <w:iCs/>
          <w:szCs w:val="24"/>
        </w:rPr>
        <w:t>-</w:t>
      </w:r>
      <w:r w:rsidRPr="003020F0">
        <w:rPr>
          <w:bCs/>
          <w:i/>
          <w:iCs/>
          <w:szCs w:val="24"/>
          <w:lang w:val="en-US"/>
        </w:rPr>
        <w:t>mail</w:t>
      </w:r>
      <w:r w:rsidRPr="003020F0">
        <w:rPr>
          <w:bCs/>
          <w:i/>
          <w:iCs/>
          <w:szCs w:val="24"/>
        </w:rPr>
        <w:t xml:space="preserve">: </w:t>
      </w:r>
      <w:hyperlink r:id="rId5" w:history="1">
        <w:r w:rsidRPr="003020F0">
          <w:rPr>
            <w:rStyle w:val="a4"/>
            <w:bCs/>
            <w:i/>
            <w:iCs/>
            <w:color w:val="auto"/>
            <w:szCs w:val="24"/>
            <w:u w:val="none"/>
            <w:lang w:val="en-US"/>
          </w:rPr>
          <w:t>sivachev</w:t>
        </w:r>
        <w:r w:rsidRPr="003020F0">
          <w:rPr>
            <w:rStyle w:val="a4"/>
            <w:bCs/>
            <w:i/>
            <w:iCs/>
            <w:color w:val="auto"/>
            <w:szCs w:val="24"/>
            <w:u w:val="none"/>
          </w:rPr>
          <w:t>.7227@</w:t>
        </w:r>
        <w:r w:rsidRPr="003020F0">
          <w:rPr>
            <w:rStyle w:val="a4"/>
            <w:bCs/>
            <w:i/>
            <w:iCs/>
            <w:color w:val="auto"/>
            <w:szCs w:val="24"/>
            <w:u w:val="none"/>
            <w:lang w:val="en-US"/>
          </w:rPr>
          <w:t>gmail</w:t>
        </w:r>
        <w:r w:rsidRPr="003020F0">
          <w:rPr>
            <w:rStyle w:val="a4"/>
            <w:bCs/>
            <w:i/>
            <w:iCs/>
            <w:color w:val="auto"/>
            <w:szCs w:val="24"/>
            <w:u w:val="none"/>
          </w:rPr>
          <w:t>.</w:t>
        </w:r>
        <w:r w:rsidRPr="003020F0">
          <w:rPr>
            <w:rStyle w:val="a4"/>
            <w:bCs/>
            <w:i/>
            <w:iCs/>
            <w:color w:val="auto"/>
            <w:szCs w:val="24"/>
            <w:u w:val="none"/>
            <w:lang w:val="en-US"/>
          </w:rPr>
          <w:t>com</w:t>
        </w:r>
      </w:hyperlink>
    </w:p>
    <w:p w14:paraId="2D905EF5" w14:textId="1BB92365" w:rsidR="003020F0" w:rsidRPr="003020F0" w:rsidRDefault="00A5710E" w:rsidP="002815BB">
      <w:pPr>
        <w:pStyle w:val="a3"/>
        <w:ind w:firstLine="397"/>
        <w:rPr>
          <w:szCs w:val="24"/>
        </w:rPr>
      </w:pPr>
      <w:r w:rsidRPr="003020F0">
        <w:rPr>
          <w:bCs/>
          <w:szCs w:val="24"/>
        </w:rPr>
        <w:t xml:space="preserve">Соединения, в основе которых находится </w:t>
      </w:r>
      <w:proofErr w:type="spellStart"/>
      <w:r w:rsidRPr="003020F0">
        <w:rPr>
          <w:szCs w:val="24"/>
        </w:rPr>
        <w:t>бензо</w:t>
      </w:r>
      <w:proofErr w:type="spellEnd"/>
      <w:r w:rsidRPr="003020F0">
        <w:rPr>
          <w:szCs w:val="24"/>
        </w:rPr>
        <w:t>[</w:t>
      </w:r>
      <w:r w:rsidRPr="003020F0">
        <w:rPr>
          <w:i/>
          <w:iCs/>
          <w:szCs w:val="24"/>
        </w:rPr>
        <w:t>d</w:t>
      </w:r>
      <w:r w:rsidRPr="003020F0">
        <w:rPr>
          <w:szCs w:val="24"/>
        </w:rPr>
        <w:t>]</w:t>
      </w:r>
      <w:proofErr w:type="spellStart"/>
      <w:r w:rsidRPr="003020F0">
        <w:rPr>
          <w:szCs w:val="24"/>
        </w:rPr>
        <w:t>пирроло</w:t>
      </w:r>
      <w:proofErr w:type="spellEnd"/>
      <w:r w:rsidRPr="003020F0">
        <w:rPr>
          <w:szCs w:val="24"/>
        </w:rPr>
        <w:t>[1,2-</w:t>
      </w:r>
      <w:proofErr w:type="gramStart"/>
      <w:r w:rsidRPr="003020F0">
        <w:rPr>
          <w:i/>
          <w:iCs/>
          <w:szCs w:val="24"/>
        </w:rPr>
        <w:t>a</w:t>
      </w:r>
      <w:r w:rsidRPr="003020F0">
        <w:rPr>
          <w:szCs w:val="24"/>
        </w:rPr>
        <w:t>]</w:t>
      </w:r>
      <w:proofErr w:type="spellStart"/>
      <w:r w:rsidRPr="003020F0">
        <w:rPr>
          <w:szCs w:val="24"/>
        </w:rPr>
        <w:t>имидазольный</w:t>
      </w:r>
      <w:proofErr w:type="spellEnd"/>
      <w:proofErr w:type="gramEnd"/>
      <w:r w:rsidRPr="003020F0">
        <w:rPr>
          <w:szCs w:val="24"/>
        </w:rPr>
        <w:t xml:space="preserve"> фрагмент, обладают доказанной биологической активностью, в частности, </w:t>
      </w:r>
      <w:r w:rsidR="000D4D28" w:rsidRPr="003020F0">
        <w:rPr>
          <w:szCs w:val="24"/>
        </w:rPr>
        <w:t>они</w:t>
      </w:r>
      <w:r w:rsidRPr="003020F0">
        <w:rPr>
          <w:szCs w:val="24"/>
        </w:rPr>
        <w:t xml:space="preserve"> проявляют регуляторную функцию для белка фактора некроза опухоли [1].</w:t>
      </w:r>
      <w:r w:rsidR="000D4D28" w:rsidRPr="003020F0">
        <w:rPr>
          <w:szCs w:val="24"/>
        </w:rPr>
        <w:t xml:space="preserve"> Развивая исследования нашей группы по разработке методов синтеза фармакологически важных </w:t>
      </w:r>
      <w:proofErr w:type="spellStart"/>
      <w:r w:rsidR="000D4D28" w:rsidRPr="003020F0">
        <w:rPr>
          <w:szCs w:val="24"/>
        </w:rPr>
        <w:t>азагетроциклических</w:t>
      </w:r>
      <w:proofErr w:type="spellEnd"/>
      <w:r w:rsidR="000D4D28" w:rsidRPr="003020F0">
        <w:rPr>
          <w:szCs w:val="24"/>
        </w:rPr>
        <w:t xml:space="preserve"> соединений, в рамках данной работы </w:t>
      </w:r>
      <w:r w:rsidRPr="003020F0">
        <w:rPr>
          <w:szCs w:val="24"/>
        </w:rPr>
        <w:t xml:space="preserve">был </w:t>
      </w:r>
      <w:r w:rsidR="000D4D28" w:rsidRPr="003020F0">
        <w:rPr>
          <w:szCs w:val="24"/>
        </w:rPr>
        <w:t>предложен удобный телескопический</w:t>
      </w:r>
      <w:r w:rsidRPr="003020F0">
        <w:rPr>
          <w:szCs w:val="24"/>
        </w:rPr>
        <w:t xml:space="preserve"> метод синтеза </w:t>
      </w:r>
      <w:r w:rsidR="000D4D28" w:rsidRPr="003020F0">
        <w:rPr>
          <w:szCs w:val="24"/>
        </w:rPr>
        <w:t>2,3</w:t>
      </w:r>
      <w:r w:rsidR="000D4D28" w:rsidRPr="003020F0">
        <w:rPr>
          <w:szCs w:val="24"/>
        </w:rPr>
        <w:noBreakHyphen/>
        <w:t>дигидробензо-</w:t>
      </w:r>
      <w:r w:rsidRPr="003020F0">
        <w:rPr>
          <w:szCs w:val="24"/>
        </w:rPr>
        <w:t>1</w:t>
      </w:r>
      <w:r w:rsidRPr="003020F0">
        <w:rPr>
          <w:i/>
          <w:szCs w:val="24"/>
        </w:rPr>
        <w:t>Н</w:t>
      </w:r>
      <w:r w:rsidR="000D4D28" w:rsidRPr="003020F0">
        <w:rPr>
          <w:szCs w:val="24"/>
        </w:rPr>
        <w:t>-</w:t>
      </w:r>
      <w:r w:rsidRPr="003020F0">
        <w:rPr>
          <w:szCs w:val="24"/>
        </w:rPr>
        <w:t>бензо[</w:t>
      </w:r>
      <w:r w:rsidRPr="003020F0">
        <w:rPr>
          <w:i/>
          <w:szCs w:val="24"/>
        </w:rPr>
        <w:t>d</w:t>
      </w:r>
      <w:r w:rsidRPr="003020F0">
        <w:rPr>
          <w:szCs w:val="24"/>
        </w:rPr>
        <w:t>]</w:t>
      </w:r>
      <w:proofErr w:type="spellStart"/>
      <w:r w:rsidRPr="003020F0">
        <w:rPr>
          <w:szCs w:val="24"/>
        </w:rPr>
        <w:t>пирроло</w:t>
      </w:r>
      <w:proofErr w:type="spellEnd"/>
      <w:r w:rsidRPr="003020F0">
        <w:rPr>
          <w:szCs w:val="24"/>
        </w:rPr>
        <w:t>[1,2</w:t>
      </w:r>
      <w:r w:rsidRPr="003020F0">
        <w:rPr>
          <w:szCs w:val="24"/>
        </w:rPr>
        <w:noBreakHyphen/>
      </w:r>
      <w:r w:rsidRPr="003020F0">
        <w:rPr>
          <w:i/>
          <w:szCs w:val="24"/>
        </w:rPr>
        <w:t>а</w:t>
      </w:r>
      <w:r w:rsidRPr="003020F0">
        <w:rPr>
          <w:szCs w:val="24"/>
        </w:rPr>
        <w:t>]</w:t>
      </w:r>
      <w:r w:rsidR="00E40B9B" w:rsidRPr="003020F0">
        <w:rPr>
          <w:szCs w:val="24"/>
        </w:rPr>
        <w:t>-</w:t>
      </w:r>
      <w:r w:rsidRPr="003020F0">
        <w:rPr>
          <w:szCs w:val="24"/>
        </w:rPr>
        <w:t>имидазолов</w:t>
      </w:r>
      <w:r w:rsidR="000D4D28" w:rsidRPr="003020F0">
        <w:rPr>
          <w:szCs w:val="24"/>
        </w:rPr>
        <w:t xml:space="preserve">, </w:t>
      </w:r>
      <w:r w:rsidRPr="003020F0">
        <w:rPr>
          <w:szCs w:val="24"/>
        </w:rPr>
        <w:t xml:space="preserve">включающий: 1) </w:t>
      </w:r>
      <w:r w:rsidR="00E40B9B" w:rsidRPr="003020F0">
        <w:rPr>
          <w:szCs w:val="24"/>
          <w:lang w:val="en-US"/>
        </w:rPr>
        <w:t>Y</w:t>
      </w:r>
      <w:r w:rsidR="00E40B9B" w:rsidRPr="003020F0">
        <w:rPr>
          <w:szCs w:val="24"/>
        </w:rPr>
        <w:t>(</w:t>
      </w:r>
      <w:proofErr w:type="spellStart"/>
      <w:r w:rsidR="00E40B9B" w:rsidRPr="003020F0">
        <w:rPr>
          <w:szCs w:val="24"/>
          <w:lang w:val="en-US"/>
        </w:rPr>
        <w:t>OTf</w:t>
      </w:r>
      <w:proofErr w:type="spellEnd"/>
      <w:r w:rsidR="00E40B9B" w:rsidRPr="003020F0">
        <w:rPr>
          <w:szCs w:val="24"/>
        </w:rPr>
        <w:t>)</w:t>
      </w:r>
      <w:r w:rsidR="00E40B9B" w:rsidRPr="003020F0">
        <w:rPr>
          <w:szCs w:val="24"/>
          <w:vertAlign w:val="subscript"/>
        </w:rPr>
        <w:t>3</w:t>
      </w:r>
      <w:r w:rsidR="00E40B9B" w:rsidRPr="003020F0">
        <w:rPr>
          <w:szCs w:val="24"/>
        </w:rPr>
        <w:t xml:space="preserve">–катализируемое </w:t>
      </w:r>
      <w:r w:rsidRPr="003020F0">
        <w:rPr>
          <w:szCs w:val="24"/>
        </w:rPr>
        <w:t xml:space="preserve">раскрытие донорно-акцепторных циклопропанов </w:t>
      </w:r>
      <w:r w:rsidR="00B80F93" w:rsidRPr="003020F0">
        <w:rPr>
          <w:b/>
          <w:szCs w:val="24"/>
        </w:rPr>
        <w:t>1</w:t>
      </w:r>
      <w:r w:rsidR="00B80F93" w:rsidRPr="003020F0">
        <w:rPr>
          <w:szCs w:val="24"/>
        </w:rPr>
        <w:t xml:space="preserve"> </w:t>
      </w:r>
      <w:r w:rsidRPr="003020F0">
        <w:rPr>
          <w:i/>
          <w:iCs/>
          <w:szCs w:val="24"/>
        </w:rPr>
        <w:t>о</w:t>
      </w:r>
      <w:r w:rsidRPr="003020F0">
        <w:rPr>
          <w:szCs w:val="24"/>
        </w:rPr>
        <w:t>-</w:t>
      </w:r>
      <w:proofErr w:type="spellStart"/>
      <w:r w:rsidRPr="003020F0">
        <w:rPr>
          <w:szCs w:val="24"/>
        </w:rPr>
        <w:t>фенилендиамином</w:t>
      </w:r>
      <w:proofErr w:type="spellEnd"/>
      <w:r w:rsidRPr="003020F0">
        <w:rPr>
          <w:szCs w:val="24"/>
        </w:rPr>
        <w:t xml:space="preserve"> и его производными; 2) </w:t>
      </w:r>
      <w:r w:rsidR="00E40B9B" w:rsidRPr="003020F0">
        <w:rPr>
          <w:szCs w:val="24"/>
        </w:rPr>
        <w:t>циклизацию</w:t>
      </w:r>
      <w:r w:rsidRPr="003020F0">
        <w:rPr>
          <w:szCs w:val="24"/>
        </w:rPr>
        <w:t xml:space="preserve"> </w:t>
      </w:r>
      <w:r w:rsidRPr="003020F0">
        <w:rPr>
          <w:rFonts w:cs="Times New Roman"/>
          <w:szCs w:val="24"/>
        </w:rPr>
        <w:t>γ</w:t>
      </w:r>
      <w:r w:rsidRPr="003020F0">
        <w:rPr>
          <w:szCs w:val="24"/>
        </w:rPr>
        <w:t xml:space="preserve">-аминомасляной кислоты в </w:t>
      </w:r>
      <w:r w:rsidR="00E40B9B" w:rsidRPr="003020F0">
        <w:rPr>
          <w:rFonts w:cs="Times New Roman"/>
          <w:szCs w:val="24"/>
        </w:rPr>
        <w:t>γ</w:t>
      </w:r>
      <w:r w:rsidR="00E40B9B" w:rsidRPr="003020F0">
        <w:rPr>
          <w:szCs w:val="24"/>
        </w:rPr>
        <w:t>-</w:t>
      </w:r>
      <w:proofErr w:type="spellStart"/>
      <w:r w:rsidRPr="003020F0">
        <w:rPr>
          <w:szCs w:val="24"/>
        </w:rPr>
        <w:t>пирролидон</w:t>
      </w:r>
      <w:proofErr w:type="spellEnd"/>
      <w:r w:rsidRPr="003020F0">
        <w:rPr>
          <w:szCs w:val="24"/>
        </w:rPr>
        <w:t xml:space="preserve"> </w:t>
      </w:r>
      <w:r w:rsidR="00B80F93" w:rsidRPr="003020F0">
        <w:rPr>
          <w:b/>
          <w:szCs w:val="24"/>
        </w:rPr>
        <w:t>2</w:t>
      </w:r>
      <w:r w:rsidR="00B80F93" w:rsidRPr="003020F0">
        <w:rPr>
          <w:szCs w:val="24"/>
        </w:rPr>
        <w:t xml:space="preserve"> </w:t>
      </w:r>
      <w:r w:rsidRPr="003020F0">
        <w:rPr>
          <w:szCs w:val="24"/>
        </w:rPr>
        <w:t xml:space="preserve">при кипячении в </w:t>
      </w:r>
      <w:r w:rsidRPr="003020F0">
        <w:rPr>
          <w:i/>
          <w:iCs/>
          <w:szCs w:val="24"/>
        </w:rPr>
        <w:t>о</w:t>
      </w:r>
      <w:r w:rsidRPr="003020F0">
        <w:rPr>
          <w:szCs w:val="24"/>
        </w:rPr>
        <w:t xml:space="preserve">-ксилоле с уксусной кислотой; 3) </w:t>
      </w:r>
      <w:r w:rsidR="00E40B9B" w:rsidRPr="003020F0">
        <w:rPr>
          <w:szCs w:val="24"/>
        </w:rPr>
        <w:t xml:space="preserve">самопроизвольные </w:t>
      </w:r>
      <w:r w:rsidRPr="003020F0">
        <w:rPr>
          <w:szCs w:val="24"/>
        </w:rPr>
        <w:t>декарбоксилирование и формирование целевой трициклической системы</w:t>
      </w:r>
      <w:r w:rsidR="00B80F93" w:rsidRPr="003020F0">
        <w:rPr>
          <w:szCs w:val="24"/>
        </w:rPr>
        <w:t xml:space="preserve"> </w:t>
      </w:r>
      <w:r w:rsidR="00B80F93" w:rsidRPr="003020F0">
        <w:rPr>
          <w:b/>
          <w:szCs w:val="24"/>
        </w:rPr>
        <w:t>3</w:t>
      </w:r>
      <w:r w:rsidRPr="003020F0">
        <w:rPr>
          <w:szCs w:val="24"/>
        </w:rPr>
        <w:t xml:space="preserve"> при проведении щелочного гидролиза</w:t>
      </w:r>
      <w:r w:rsidR="00B80F93" w:rsidRPr="003020F0">
        <w:rPr>
          <w:szCs w:val="24"/>
        </w:rPr>
        <w:t xml:space="preserve">. </w:t>
      </w:r>
      <w:proofErr w:type="spellStart"/>
      <w:r w:rsidR="00B80F93" w:rsidRPr="003020F0">
        <w:rPr>
          <w:szCs w:val="24"/>
        </w:rPr>
        <w:t>Митостатические</w:t>
      </w:r>
      <w:proofErr w:type="spellEnd"/>
      <w:r w:rsidR="00B80F93" w:rsidRPr="003020F0">
        <w:rPr>
          <w:szCs w:val="24"/>
        </w:rPr>
        <w:t xml:space="preserve"> свойства</w:t>
      </w:r>
      <w:r w:rsidR="00841B71" w:rsidRPr="003020F0">
        <w:rPr>
          <w:szCs w:val="24"/>
        </w:rPr>
        <w:t xml:space="preserve"> и</w:t>
      </w:r>
      <w:r w:rsidR="00B80F93" w:rsidRPr="003020F0">
        <w:rPr>
          <w:szCs w:val="24"/>
        </w:rPr>
        <w:t xml:space="preserve"> способность </w:t>
      </w:r>
      <w:r w:rsidR="00841B71" w:rsidRPr="003020F0">
        <w:rPr>
          <w:szCs w:val="24"/>
        </w:rPr>
        <w:t xml:space="preserve">соединений </w:t>
      </w:r>
      <w:r w:rsidR="00841B71" w:rsidRPr="003020F0">
        <w:rPr>
          <w:b/>
          <w:szCs w:val="24"/>
        </w:rPr>
        <w:t>3</w:t>
      </w:r>
      <w:r w:rsidR="00841B71" w:rsidRPr="003020F0">
        <w:rPr>
          <w:szCs w:val="24"/>
        </w:rPr>
        <w:t xml:space="preserve"> </w:t>
      </w:r>
      <w:r w:rsidR="00B80F93" w:rsidRPr="003020F0">
        <w:rPr>
          <w:szCs w:val="24"/>
        </w:rPr>
        <w:t xml:space="preserve">подавлять рост микротрубочек и пролиферацию раковых клеток были исследованы в рамках разработки </w:t>
      </w:r>
      <w:r w:rsidRPr="003020F0">
        <w:rPr>
          <w:szCs w:val="24"/>
        </w:rPr>
        <w:t xml:space="preserve">нового универсального </w:t>
      </w:r>
      <w:r w:rsidRPr="003020F0">
        <w:rPr>
          <w:b/>
          <w:szCs w:val="24"/>
        </w:rPr>
        <w:t xml:space="preserve">экспресс-метода определения </w:t>
      </w:r>
      <w:proofErr w:type="spellStart"/>
      <w:r w:rsidR="00B80F93" w:rsidRPr="003020F0">
        <w:rPr>
          <w:b/>
          <w:szCs w:val="24"/>
        </w:rPr>
        <w:t>лигандов</w:t>
      </w:r>
      <w:proofErr w:type="spellEnd"/>
      <w:r w:rsidR="00B80F93" w:rsidRPr="003020F0">
        <w:rPr>
          <w:b/>
          <w:szCs w:val="24"/>
        </w:rPr>
        <w:t xml:space="preserve"> </w:t>
      </w:r>
      <w:proofErr w:type="spellStart"/>
      <w:r w:rsidR="00B80F93" w:rsidRPr="003020F0">
        <w:rPr>
          <w:b/>
          <w:szCs w:val="24"/>
        </w:rPr>
        <w:t>тубулина</w:t>
      </w:r>
      <w:proofErr w:type="spellEnd"/>
      <w:r w:rsidR="002B5DCA" w:rsidRPr="003020F0">
        <w:rPr>
          <w:b/>
          <w:szCs w:val="24"/>
        </w:rPr>
        <w:t xml:space="preserve"> </w:t>
      </w:r>
      <w:r w:rsidR="002B5DCA" w:rsidRPr="003020F0">
        <w:rPr>
          <w:szCs w:val="24"/>
        </w:rPr>
        <w:t>[2]</w:t>
      </w:r>
      <w:r w:rsidRPr="003020F0">
        <w:rPr>
          <w:szCs w:val="24"/>
        </w:rPr>
        <w:t xml:space="preserve">. </w:t>
      </w:r>
      <w:r w:rsidR="00B80F93" w:rsidRPr="003020F0">
        <w:rPr>
          <w:szCs w:val="24"/>
        </w:rPr>
        <w:t xml:space="preserve">Выявлено </w:t>
      </w:r>
      <w:r w:rsidRPr="003020F0">
        <w:rPr>
          <w:szCs w:val="24"/>
        </w:rPr>
        <w:t>соединение</w:t>
      </w:r>
      <w:r w:rsidR="00B80F93" w:rsidRPr="003020F0">
        <w:rPr>
          <w:szCs w:val="24"/>
        </w:rPr>
        <w:t>-хит</w:t>
      </w:r>
      <w:r w:rsidRPr="003020F0">
        <w:rPr>
          <w:szCs w:val="24"/>
        </w:rPr>
        <w:t xml:space="preserve"> </w:t>
      </w:r>
      <w:r w:rsidRPr="003020F0">
        <w:rPr>
          <w:b/>
          <w:bCs/>
          <w:szCs w:val="24"/>
        </w:rPr>
        <w:t>3</w:t>
      </w:r>
      <w:r w:rsidRPr="003020F0">
        <w:rPr>
          <w:b/>
          <w:bCs/>
          <w:szCs w:val="24"/>
          <w:lang w:val="en-US"/>
        </w:rPr>
        <w:t>f</w:t>
      </w:r>
      <w:r w:rsidR="00B80F93" w:rsidRPr="003020F0">
        <w:rPr>
          <w:b/>
          <w:bCs/>
          <w:szCs w:val="24"/>
        </w:rPr>
        <w:t xml:space="preserve">, </w:t>
      </w:r>
      <w:r w:rsidRPr="003020F0">
        <w:rPr>
          <w:szCs w:val="24"/>
        </w:rPr>
        <w:t>э</w:t>
      </w:r>
      <w:r w:rsidR="00B80F93" w:rsidRPr="003020F0">
        <w:rPr>
          <w:szCs w:val="24"/>
        </w:rPr>
        <w:t>ффективнее остальных связывающееся</w:t>
      </w:r>
      <w:r w:rsidRPr="003020F0">
        <w:rPr>
          <w:szCs w:val="24"/>
        </w:rPr>
        <w:t xml:space="preserve"> с </w:t>
      </w:r>
      <w:proofErr w:type="spellStart"/>
      <w:r w:rsidRPr="003020F0">
        <w:rPr>
          <w:szCs w:val="24"/>
        </w:rPr>
        <w:t>колхициновым</w:t>
      </w:r>
      <w:proofErr w:type="spellEnd"/>
      <w:r w:rsidRPr="003020F0">
        <w:rPr>
          <w:szCs w:val="24"/>
        </w:rPr>
        <w:t xml:space="preserve"> сайтом</w:t>
      </w:r>
      <w:r w:rsidR="00163ED1" w:rsidRPr="003020F0">
        <w:rPr>
          <w:szCs w:val="24"/>
        </w:rPr>
        <w:t>.</w:t>
      </w:r>
    </w:p>
    <w:p w14:paraId="40C2840A" w14:textId="50B210AA" w:rsidR="00A5710E" w:rsidRPr="003020F0" w:rsidRDefault="00E2608E" w:rsidP="002B5DCA">
      <w:pPr>
        <w:pStyle w:val="a3"/>
        <w:rPr>
          <w:szCs w:val="24"/>
        </w:rPr>
      </w:pPr>
      <w:r>
        <w:rPr>
          <w:noProof/>
          <w:szCs w:val="24"/>
        </w:rPr>
        <w:drawing>
          <wp:inline distT="0" distB="0" distL="0" distR="0" wp14:anchorId="5A362432" wp14:editId="0288F737">
            <wp:extent cx="5831840" cy="32207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DB9CE" w14:textId="0707A923" w:rsidR="00A5710E" w:rsidRPr="003020F0" w:rsidRDefault="00A5710E" w:rsidP="002B5DCA">
      <w:pPr>
        <w:pStyle w:val="a3"/>
        <w:jc w:val="center"/>
        <w:rPr>
          <w:i/>
          <w:iCs/>
          <w:szCs w:val="24"/>
        </w:rPr>
      </w:pPr>
      <w:r w:rsidRPr="003020F0">
        <w:rPr>
          <w:i/>
          <w:iCs/>
          <w:szCs w:val="24"/>
        </w:rPr>
        <w:t>Работа выполнена при поддержке гранта</w:t>
      </w:r>
      <w:r w:rsidR="00150A9B" w:rsidRPr="003020F0">
        <w:rPr>
          <w:i/>
          <w:iCs/>
          <w:szCs w:val="24"/>
        </w:rPr>
        <w:t xml:space="preserve"> РНФ №</w:t>
      </w:r>
      <w:r w:rsidRPr="003020F0">
        <w:rPr>
          <w:i/>
          <w:iCs/>
          <w:szCs w:val="24"/>
        </w:rPr>
        <w:t xml:space="preserve"> </w:t>
      </w:r>
      <w:r w:rsidRPr="003020F0">
        <w:rPr>
          <w:rStyle w:val="wmi-callto"/>
          <w:i/>
          <w:color w:val="000000"/>
          <w:szCs w:val="24"/>
          <w:shd w:val="clear" w:color="auto" w:fill="FFFFFF"/>
        </w:rPr>
        <w:t>25-73-20019</w:t>
      </w:r>
      <w:r w:rsidR="00150A9B" w:rsidRPr="003020F0">
        <w:rPr>
          <w:rStyle w:val="wmi-callto"/>
          <w:i/>
          <w:color w:val="000000"/>
          <w:szCs w:val="24"/>
          <w:shd w:val="clear" w:color="auto" w:fill="FFFFFF"/>
        </w:rPr>
        <w:t>.</w:t>
      </w:r>
    </w:p>
    <w:p w14:paraId="625DD701" w14:textId="77777777" w:rsidR="00A5710E" w:rsidRPr="003020F0" w:rsidRDefault="00A5710E" w:rsidP="00A5710E">
      <w:pPr>
        <w:pStyle w:val="a3"/>
        <w:jc w:val="center"/>
        <w:rPr>
          <w:szCs w:val="24"/>
          <w:lang w:val="en-US"/>
        </w:rPr>
      </w:pPr>
      <w:r w:rsidRPr="003020F0">
        <w:rPr>
          <w:b/>
          <w:color w:val="000000"/>
          <w:szCs w:val="24"/>
        </w:rPr>
        <w:t>Литература</w:t>
      </w:r>
    </w:p>
    <w:p w14:paraId="450E37A3" w14:textId="77777777" w:rsidR="00A5710E" w:rsidRPr="003020F0" w:rsidRDefault="00A5710E" w:rsidP="00150A9B">
      <w:pPr>
        <w:pStyle w:val="a3"/>
        <w:rPr>
          <w:szCs w:val="24"/>
          <w:lang w:val="en-US"/>
        </w:rPr>
      </w:pPr>
      <w:r w:rsidRPr="003020F0">
        <w:rPr>
          <w:szCs w:val="24"/>
          <w:lang w:val="en-US"/>
        </w:rPr>
        <w:t xml:space="preserve">1. Alexander R.P., </w:t>
      </w:r>
      <w:proofErr w:type="spellStart"/>
      <w:r w:rsidRPr="003020F0">
        <w:rPr>
          <w:szCs w:val="24"/>
          <w:lang w:val="en-US"/>
        </w:rPr>
        <w:t>Calmiano</w:t>
      </w:r>
      <w:proofErr w:type="spellEnd"/>
      <w:r w:rsidRPr="003020F0">
        <w:rPr>
          <w:szCs w:val="24"/>
          <w:lang w:val="en-US"/>
        </w:rPr>
        <w:t xml:space="preserve"> M.D., </w:t>
      </w:r>
      <w:proofErr w:type="spellStart"/>
      <w:r w:rsidRPr="003020F0">
        <w:rPr>
          <w:szCs w:val="24"/>
          <w:lang w:val="en-US"/>
        </w:rPr>
        <w:t>Defays</w:t>
      </w:r>
      <w:proofErr w:type="spellEnd"/>
      <w:r w:rsidRPr="003020F0">
        <w:rPr>
          <w:szCs w:val="24"/>
          <w:lang w:val="en-US"/>
        </w:rPr>
        <w:t xml:space="preserve"> S., </w:t>
      </w:r>
      <w:proofErr w:type="spellStart"/>
      <w:r w:rsidRPr="003020F0">
        <w:rPr>
          <w:szCs w:val="24"/>
          <w:lang w:val="en-US"/>
        </w:rPr>
        <w:t>Durieu</w:t>
      </w:r>
      <w:proofErr w:type="spellEnd"/>
      <w:r w:rsidRPr="003020F0">
        <w:rPr>
          <w:szCs w:val="24"/>
          <w:lang w:val="en-US"/>
        </w:rPr>
        <w:t xml:space="preserve"> V., </w:t>
      </w:r>
      <w:proofErr w:type="spellStart"/>
      <w:r w:rsidRPr="003020F0">
        <w:rPr>
          <w:szCs w:val="24"/>
          <w:lang w:val="en-US"/>
        </w:rPr>
        <w:t>Deligny</w:t>
      </w:r>
      <w:proofErr w:type="spellEnd"/>
      <w:r w:rsidRPr="003020F0">
        <w:rPr>
          <w:szCs w:val="24"/>
          <w:lang w:val="en-US"/>
        </w:rPr>
        <w:t xml:space="preserve"> M.</w:t>
      </w:r>
      <w:r w:rsidRPr="003020F0">
        <w:rPr>
          <w:rFonts w:eastAsia="Times New Roman" w:cs="Times New Roman"/>
          <w:color w:val="000000"/>
          <w:szCs w:val="24"/>
          <w:lang w:val="en-US"/>
        </w:rPr>
        <w:t>,</w:t>
      </w:r>
      <w:r w:rsidRPr="003020F0">
        <w:rPr>
          <w:szCs w:val="24"/>
          <w:lang w:val="en-US"/>
        </w:rPr>
        <w:t xml:space="preserve"> US Pat., US20160304523A1, 2016.</w:t>
      </w:r>
    </w:p>
    <w:p w14:paraId="3AC468F1" w14:textId="6F245186" w:rsidR="002B5DCA" w:rsidRPr="003020F0" w:rsidRDefault="002B5DCA" w:rsidP="00150A9B">
      <w:pPr>
        <w:pStyle w:val="a3"/>
        <w:rPr>
          <w:szCs w:val="24"/>
          <w:lang w:val="en-US"/>
        </w:rPr>
      </w:pPr>
      <w:r w:rsidRPr="003020F0">
        <w:rPr>
          <w:color w:val="000000"/>
          <w:szCs w:val="24"/>
          <w:lang w:val="en-US"/>
        </w:rPr>
        <w:t xml:space="preserve">2. </w:t>
      </w:r>
      <w:r w:rsidRPr="003020F0">
        <w:rPr>
          <w:szCs w:val="24"/>
          <w:lang w:val="en-US"/>
        </w:rPr>
        <w:t xml:space="preserve">Anisimov M. N., </w:t>
      </w:r>
      <w:proofErr w:type="spellStart"/>
      <w:r w:rsidRPr="003020F0">
        <w:rPr>
          <w:szCs w:val="24"/>
          <w:lang w:val="en-US"/>
        </w:rPr>
        <w:t>Boichenko</w:t>
      </w:r>
      <w:proofErr w:type="spellEnd"/>
      <w:r w:rsidRPr="003020F0">
        <w:rPr>
          <w:szCs w:val="24"/>
          <w:lang w:val="en-US"/>
        </w:rPr>
        <w:t xml:space="preserve"> M. A., </w:t>
      </w:r>
      <w:proofErr w:type="spellStart"/>
      <w:r w:rsidRPr="003020F0">
        <w:rPr>
          <w:szCs w:val="24"/>
          <w:lang w:val="en-US"/>
        </w:rPr>
        <w:t>Sivachev</w:t>
      </w:r>
      <w:proofErr w:type="spellEnd"/>
      <w:r w:rsidRPr="003020F0">
        <w:rPr>
          <w:szCs w:val="24"/>
          <w:lang w:val="en-US"/>
        </w:rPr>
        <w:t xml:space="preserve"> A. A., Romanov A. N., </w:t>
      </w:r>
      <w:proofErr w:type="spellStart"/>
      <w:r w:rsidRPr="003020F0">
        <w:rPr>
          <w:szCs w:val="24"/>
          <w:lang w:val="en-US"/>
        </w:rPr>
        <w:t>Lifshits</w:t>
      </w:r>
      <w:proofErr w:type="spellEnd"/>
      <w:r w:rsidRPr="003020F0">
        <w:rPr>
          <w:szCs w:val="24"/>
          <w:lang w:val="en-US"/>
        </w:rPr>
        <w:t xml:space="preserve"> I. A., </w:t>
      </w:r>
      <w:proofErr w:type="spellStart"/>
      <w:r w:rsidRPr="003020F0">
        <w:rPr>
          <w:szCs w:val="24"/>
          <w:lang w:val="en-US"/>
        </w:rPr>
        <w:t>Borzunova</w:t>
      </w:r>
      <w:proofErr w:type="spellEnd"/>
      <w:r w:rsidRPr="003020F0">
        <w:rPr>
          <w:szCs w:val="24"/>
          <w:lang w:val="en-US"/>
        </w:rPr>
        <w:t xml:space="preserve"> J. N., </w:t>
      </w:r>
      <w:proofErr w:type="spellStart"/>
      <w:r w:rsidRPr="003020F0">
        <w:rPr>
          <w:szCs w:val="24"/>
          <w:lang w:val="en-US"/>
        </w:rPr>
        <w:t>Janibekova</w:t>
      </w:r>
      <w:proofErr w:type="spellEnd"/>
      <w:r w:rsidRPr="003020F0">
        <w:rPr>
          <w:szCs w:val="24"/>
          <w:lang w:val="en-US"/>
        </w:rPr>
        <w:t xml:space="preserve"> M., </w:t>
      </w:r>
      <w:proofErr w:type="spellStart"/>
      <w:r w:rsidRPr="003020F0">
        <w:rPr>
          <w:szCs w:val="24"/>
          <w:lang w:val="en-US"/>
        </w:rPr>
        <w:t>Mustyatsa</w:t>
      </w:r>
      <w:proofErr w:type="spellEnd"/>
      <w:r w:rsidRPr="003020F0">
        <w:rPr>
          <w:szCs w:val="24"/>
          <w:lang w:val="en-US"/>
        </w:rPr>
        <w:t xml:space="preserve"> V. V., Tikhonov T. P., </w:t>
      </w:r>
      <w:proofErr w:type="spellStart"/>
      <w:r w:rsidRPr="003020F0">
        <w:rPr>
          <w:szCs w:val="24"/>
          <w:lang w:val="en-US"/>
        </w:rPr>
        <w:t>Plodukhin</w:t>
      </w:r>
      <w:proofErr w:type="spellEnd"/>
      <w:r w:rsidRPr="003020F0">
        <w:rPr>
          <w:szCs w:val="24"/>
          <w:lang w:val="en-US"/>
        </w:rPr>
        <w:t xml:space="preserve"> A. Yu, </w:t>
      </w:r>
      <w:proofErr w:type="spellStart"/>
      <w:r w:rsidRPr="003020F0">
        <w:rPr>
          <w:szCs w:val="24"/>
          <w:lang w:val="en-US"/>
        </w:rPr>
        <w:t>Shorokhov</w:t>
      </w:r>
      <w:proofErr w:type="spellEnd"/>
      <w:r w:rsidRPr="003020F0">
        <w:rPr>
          <w:szCs w:val="24"/>
          <w:lang w:val="en-US"/>
        </w:rPr>
        <w:t xml:space="preserve"> V. V., </w:t>
      </w:r>
      <w:proofErr w:type="spellStart"/>
      <w:r w:rsidRPr="003020F0">
        <w:rPr>
          <w:szCs w:val="24"/>
          <w:lang w:val="en-US"/>
        </w:rPr>
        <w:t>Tafeenko</w:t>
      </w:r>
      <w:proofErr w:type="spellEnd"/>
      <w:r w:rsidRPr="003020F0">
        <w:rPr>
          <w:szCs w:val="24"/>
          <w:lang w:val="en-US"/>
        </w:rPr>
        <w:t xml:space="preserve"> V. A., </w:t>
      </w:r>
      <w:proofErr w:type="spellStart"/>
      <w:r w:rsidRPr="003020F0">
        <w:rPr>
          <w:szCs w:val="24"/>
          <w:lang w:val="en-US"/>
        </w:rPr>
        <w:t>Ratmanova</w:t>
      </w:r>
      <w:proofErr w:type="spellEnd"/>
      <w:r w:rsidRPr="003020F0">
        <w:rPr>
          <w:szCs w:val="24"/>
          <w:lang w:val="en-US"/>
        </w:rPr>
        <w:t xml:space="preserve"> N. K., </w:t>
      </w:r>
      <w:proofErr w:type="spellStart"/>
      <w:r w:rsidRPr="003020F0">
        <w:rPr>
          <w:szCs w:val="24"/>
          <w:lang w:val="en-US"/>
        </w:rPr>
        <w:t>Zhokhov</w:t>
      </w:r>
      <w:proofErr w:type="spellEnd"/>
      <w:r w:rsidRPr="003020F0">
        <w:rPr>
          <w:szCs w:val="24"/>
          <w:lang w:val="en-US"/>
        </w:rPr>
        <w:t xml:space="preserve"> S. S., Novikov R. A., </w:t>
      </w:r>
      <w:proofErr w:type="spellStart"/>
      <w:r w:rsidRPr="003020F0">
        <w:rPr>
          <w:szCs w:val="24"/>
          <w:lang w:val="en-US"/>
        </w:rPr>
        <w:t>Kechko</w:t>
      </w:r>
      <w:proofErr w:type="spellEnd"/>
      <w:r w:rsidRPr="003020F0">
        <w:rPr>
          <w:szCs w:val="24"/>
          <w:lang w:val="en-US"/>
        </w:rPr>
        <w:t xml:space="preserve"> O. I., Makarov A. A., </w:t>
      </w:r>
      <w:proofErr w:type="spellStart"/>
      <w:r w:rsidRPr="003020F0">
        <w:rPr>
          <w:szCs w:val="24"/>
          <w:lang w:val="en-US"/>
        </w:rPr>
        <w:t>Mitkevich</w:t>
      </w:r>
      <w:proofErr w:type="spellEnd"/>
      <w:r w:rsidRPr="003020F0">
        <w:rPr>
          <w:szCs w:val="24"/>
          <w:lang w:val="en-US"/>
        </w:rPr>
        <w:t xml:space="preserve"> V. A., Andreev I. A., </w:t>
      </w:r>
      <w:proofErr w:type="spellStart"/>
      <w:r w:rsidRPr="003020F0">
        <w:rPr>
          <w:szCs w:val="24"/>
          <w:lang w:val="en-US"/>
        </w:rPr>
        <w:t>Vorobjev</w:t>
      </w:r>
      <w:proofErr w:type="spellEnd"/>
      <w:r w:rsidRPr="003020F0">
        <w:rPr>
          <w:szCs w:val="24"/>
          <w:lang w:val="en-US"/>
        </w:rPr>
        <w:t xml:space="preserve"> I. A., </w:t>
      </w:r>
      <w:proofErr w:type="spellStart"/>
      <w:r w:rsidRPr="003020F0">
        <w:rPr>
          <w:szCs w:val="24"/>
          <w:lang w:val="en-US"/>
        </w:rPr>
        <w:t>Trushkov</w:t>
      </w:r>
      <w:proofErr w:type="spellEnd"/>
      <w:r w:rsidRPr="003020F0">
        <w:rPr>
          <w:szCs w:val="24"/>
          <w:lang w:val="en-US"/>
        </w:rPr>
        <w:t xml:space="preserve"> I. V., Ivanova O. A., </w:t>
      </w:r>
      <w:proofErr w:type="spellStart"/>
      <w:r w:rsidRPr="003020F0">
        <w:rPr>
          <w:szCs w:val="24"/>
          <w:lang w:val="en-US"/>
        </w:rPr>
        <w:t>Gudimchuk</w:t>
      </w:r>
      <w:proofErr w:type="spellEnd"/>
      <w:r w:rsidRPr="003020F0">
        <w:rPr>
          <w:szCs w:val="24"/>
          <w:lang w:val="en-US"/>
        </w:rPr>
        <w:t xml:space="preserve"> N. B. Coumarin‐30 Enables Site‐Resolved Detection of Tubulin Ligands by Microscale Thermophoresis Ang. </w:t>
      </w:r>
      <w:proofErr w:type="spellStart"/>
      <w:r w:rsidRPr="003020F0">
        <w:rPr>
          <w:szCs w:val="24"/>
        </w:rPr>
        <w:t>Chem</w:t>
      </w:r>
      <w:proofErr w:type="spellEnd"/>
      <w:r w:rsidRPr="003020F0">
        <w:rPr>
          <w:szCs w:val="24"/>
          <w:lang w:val="en-US"/>
        </w:rPr>
        <w:t xml:space="preserve">. </w:t>
      </w:r>
      <w:r w:rsidRPr="003020F0">
        <w:rPr>
          <w:szCs w:val="24"/>
        </w:rPr>
        <w:t>Int</w:t>
      </w:r>
      <w:r w:rsidRPr="003020F0">
        <w:rPr>
          <w:szCs w:val="24"/>
          <w:lang w:val="en-US"/>
        </w:rPr>
        <w:t xml:space="preserve">. </w:t>
      </w:r>
      <w:proofErr w:type="spellStart"/>
      <w:r w:rsidRPr="003020F0">
        <w:rPr>
          <w:szCs w:val="24"/>
        </w:rPr>
        <w:t>Ed</w:t>
      </w:r>
      <w:proofErr w:type="spellEnd"/>
      <w:r w:rsidRPr="003020F0">
        <w:rPr>
          <w:szCs w:val="24"/>
        </w:rPr>
        <w:t>.</w:t>
      </w:r>
      <w:r w:rsidRPr="003020F0">
        <w:rPr>
          <w:szCs w:val="24"/>
          <w:lang w:val="en-US"/>
        </w:rPr>
        <w:t xml:space="preserve"> 2026, </w:t>
      </w:r>
      <w:r w:rsidRPr="003020F0">
        <w:rPr>
          <w:szCs w:val="24"/>
        </w:rPr>
        <w:t>V</w:t>
      </w:r>
      <w:r w:rsidRPr="003020F0">
        <w:rPr>
          <w:szCs w:val="24"/>
          <w:lang w:val="en-US"/>
        </w:rPr>
        <w:t xml:space="preserve">. 65, </w:t>
      </w:r>
      <w:r w:rsidRPr="003020F0">
        <w:rPr>
          <w:szCs w:val="24"/>
        </w:rPr>
        <w:t>P</w:t>
      </w:r>
      <w:r w:rsidRPr="003020F0">
        <w:rPr>
          <w:szCs w:val="24"/>
          <w:lang w:val="en-US"/>
        </w:rPr>
        <w:t>.</w:t>
      </w:r>
      <w:r w:rsidRPr="003020F0">
        <w:rPr>
          <w:szCs w:val="24"/>
        </w:rPr>
        <w:t>e</w:t>
      </w:r>
      <w:r w:rsidRPr="003020F0">
        <w:rPr>
          <w:szCs w:val="24"/>
          <w:lang w:val="en-US"/>
        </w:rPr>
        <w:t>17086</w:t>
      </w:r>
    </w:p>
    <w:sectPr w:rsidR="002B5DCA" w:rsidRPr="003020F0" w:rsidSect="00F04C6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BDC"/>
    <w:multiLevelType w:val="hybridMultilevel"/>
    <w:tmpl w:val="0EDC60CA"/>
    <w:lvl w:ilvl="0" w:tplc="BBCC13C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B6"/>
    <w:rsid w:val="00007C8D"/>
    <w:rsid w:val="0005699E"/>
    <w:rsid w:val="000613EA"/>
    <w:rsid w:val="000D4D28"/>
    <w:rsid w:val="000D7BF0"/>
    <w:rsid w:val="000E0FC9"/>
    <w:rsid w:val="00150A9B"/>
    <w:rsid w:val="00163ED1"/>
    <w:rsid w:val="001C31CA"/>
    <w:rsid w:val="002815BB"/>
    <w:rsid w:val="00297F4E"/>
    <w:rsid w:val="002B1311"/>
    <w:rsid w:val="002B5DCA"/>
    <w:rsid w:val="002E163C"/>
    <w:rsid w:val="003020F0"/>
    <w:rsid w:val="00314A34"/>
    <w:rsid w:val="00350E9D"/>
    <w:rsid w:val="0037101B"/>
    <w:rsid w:val="00395684"/>
    <w:rsid w:val="003E5D57"/>
    <w:rsid w:val="004422D3"/>
    <w:rsid w:val="004D70B4"/>
    <w:rsid w:val="00552C46"/>
    <w:rsid w:val="0057609C"/>
    <w:rsid w:val="00587363"/>
    <w:rsid w:val="005F5881"/>
    <w:rsid w:val="00613DB3"/>
    <w:rsid w:val="0062028B"/>
    <w:rsid w:val="006A0CB6"/>
    <w:rsid w:val="006A2B51"/>
    <w:rsid w:val="007065BE"/>
    <w:rsid w:val="00720640"/>
    <w:rsid w:val="007948F3"/>
    <w:rsid w:val="00841B71"/>
    <w:rsid w:val="008D36AC"/>
    <w:rsid w:val="008E3F96"/>
    <w:rsid w:val="009868DD"/>
    <w:rsid w:val="009C5B9B"/>
    <w:rsid w:val="00A03729"/>
    <w:rsid w:val="00A24807"/>
    <w:rsid w:val="00A46A21"/>
    <w:rsid w:val="00A5131A"/>
    <w:rsid w:val="00A5710E"/>
    <w:rsid w:val="00B80F93"/>
    <w:rsid w:val="00BF0B64"/>
    <w:rsid w:val="00BF2BBF"/>
    <w:rsid w:val="00C2228F"/>
    <w:rsid w:val="00CA5973"/>
    <w:rsid w:val="00CB38B6"/>
    <w:rsid w:val="00CD7266"/>
    <w:rsid w:val="00D0683B"/>
    <w:rsid w:val="00D31022"/>
    <w:rsid w:val="00D63083"/>
    <w:rsid w:val="00DE517C"/>
    <w:rsid w:val="00E1229D"/>
    <w:rsid w:val="00E2608E"/>
    <w:rsid w:val="00E3312D"/>
    <w:rsid w:val="00E40B9B"/>
    <w:rsid w:val="00E57295"/>
    <w:rsid w:val="00EA1C43"/>
    <w:rsid w:val="00EF09C2"/>
    <w:rsid w:val="00F04C68"/>
    <w:rsid w:val="00F05E95"/>
    <w:rsid w:val="00F55320"/>
    <w:rsid w:val="00F6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7CFD"/>
  <w15:docId w15:val="{D9BB706F-AB38-45C2-9FF8-C566824A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E9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омоносов"/>
    <w:basedOn w:val="a"/>
    <w:qFormat/>
    <w:rsid w:val="00F04C68"/>
    <w:pPr>
      <w:jc w:val="both"/>
    </w:pPr>
  </w:style>
  <w:style w:type="character" w:styleId="a4">
    <w:name w:val="Hyperlink"/>
    <w:basedOn w:val="a0"/>
    <w:uiPriority w:val="99"/>
    <w:unhideWhenUsed/>
    <w:rsid w:val="006A2B5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A2B51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A5710E"/>
  </w:style>
  <w:style w:type="paragraph" w:customStyle="1" w:styleId="BATitle">
    <w:name w:val="BA_Title"/>
    <w:basedOn w:val="a"/>
    <w:next w:val="a"/>
    <w:autoRedefine/>
    <w:rsid w:val="00150A9B"/>
    <w:pPr>
      <w:jc w:val="both"/>
    </w:pPr>
    <w:rPr>
      <w:rFonts w:eastAsia="Times New Roman" w:cs="Times New Roman"/>
      <w:bCs/>
      <w:iCs/>
      <w:color w:val="222222"/>
      <w:kern w:val="36"/>
      <w:szCs w:val="24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ivachev.72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Сивачев</dc:creator>
  <cp:lastModifiedBy>Антон Сивачев</cp:lastModifiedBy>
  <cp:revision>2</cp:revision>
  <dcterms:created xsi:type="dcterms:W3CDTF">2026-03-07T05:56:00Z</dcterms:created>
  <dcterms:modified xsi:type="dcterms:W3CDTF">2026-03-07T05:56:00Z</dcterms:modified>
</cp:coreProperties>
</file>