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035EF" w14:textId="4D944C00" w:rsidR="006B3283" w:rsidRPr="002E1F5B" w:rsidRDefault="00C97D8E" w:rsidP="002E1F5B">
      <w:pPr>
        <w:jc w:val="center"/>
        <w:rPr>
          <w:b/>
          <w:bCs/>
          <w:color w:val="000000"/>
          <w:szCs w:val="24"/>
        </w:rPr>
      </w:pPr>
      <w:r w:rsidRPr="000D0B06">
        <w:rPr>
          <w:b/>
          <w:bCs/>
          <w:color w:val="000000"/>
          <w:szCs w:val="24"/>
        </w:rPr>
        <w:t xml:space="preserve">Электроиндуцированное внутримолекулярное окислительное </w:t>
      </w:r>
      <w:r w:rsidRPr="000D0B06">
        <w:rPr>
          <w:b/>
          <w:bCs/>
          <w:color w:val="000000"/>
          <w:szCs w:val="24"/>
          <w:lang w:val="en-US"/>
        </w:rPr>
        <w:t>C</w:t>
      </w:r>
      <w:r w:rsidRPr="000D0B06">
        <w:rPr>
          <w:b/>
          <w:bCs/>
          <w:color w:val="000000"/>
          <w:szCs w:val="24"/>
        </w:rPr>
        <w:t>-</w:t>
      </w:r>
      <w:r w:rsidRPr="000D0B06">
        <w:rPr>
          <w:b/>
          <w:bCs/>
          <w:color w:val="000000"/>
          <w:szCs w:val="24"/>
          <w:lang w:val="en-US"/>
        </w:rPr>
        <w:t>N</w:t>
      </w:r>
      <w:r w:rsidRPr="000D0B06">
        <w:rPr>
          <w:b/>
          <w:bCs/>
          <w:color w:val="000000"/>
          <w:szCs w:val="24"/>
        </w:rPr>
        <w:t xml:space="preserve"> сочетание гидразонов α,β-ненасыщенных кетонов</w:t>
      </w:r>
      <w:r w:rsidR="006B3283" w:rsidRPr="000D0B06">
        <w:rPr>
          <w:szCs w:val="24"/>
        </w:rPr>
        <w:t xml:space="preserve"> </w:t>
      </w:r>
    </w:p>
    <w:p w14:paraId="06240881" w14:textId="77777777" w:rsidR="00C97D8E" w:rsidRPr="002E1F5B" w:rsidRDefault="00C97D8E" w:rsidP="0048160F">
      <w:pPr>
        <w:pStyle w:val="a3"/>
        <w:rPr>
          <w:bCs/>
          <w:sz w:val="24"/>
          <w:szCs w:val="24"/>
        </w:rPr>
      </w:pPr>
      <w:r w:rsidRPr="002E1F5B">
        <w:rPr>
          <w:bCs/>
          <w:sz w:val="24"/>
          <w:szCs w:val="24"/>
          <w:u w:val="single"/>
        </w:rPr>
        <w:t>Воропаева А.С.</w:t>
      </w:r>
      <w:r w:rsidRPr="002E1F5B">
        <w:rPr>
          <w:bCs/>
          <w:sz w:val="24"/>
          <w:szCs w:val="24"/>
          <w:u w:val="single"/>
          <w:vertAlign w:val="superscript"/>
        </w:rPr>
        <w:t>1,3</w:t>
      </w:r>
      <w:r w:rsidRPr="002E1F5B">
        <w:rPr>
          <w:bCs/>
          <w:sz w:val="24"/>
          <w:szCs w:val="24"/>
          <w:u w:val="single"/>
        </w:rPr>
        <w:t>,</w:t>
      </w:r>
      <w:r w:rsidRPr="002E1F5B">
        <w:rPr>
          <w:bCs/>
          <w:sz w:val="24"/>
          <w:szCs w:val="24"/>
        </w:rPr>
        <w:t xml:space="preserve"> Кобзева С.А.</w:t>
      </w:r>
      <w:r w:rsidRPr="002E1F5B">
        <w:rPr>
          <w:bCs/>
          <w:sz w:val="24"/>
          <w:szCs w:val="24"/>
          <w:vertAlign w:val="superscript"/>
        </w:rPr>
        <w:t>2,3</w:t>
      </w:r>
      <w:r w:rsidRPr="002E1F5B">
        <w:rPr>
          <w:bCs/>
          <w:sz w:val="24"/>
          <w:szCs w:val="24"/>
        </w:rPr>
        <w:t>, Сегида О.О.</w:t>
      </w:r>
      <w:r w:rsidRPr="002E1F5B">
        <w:rPr>
          <w:bCs/>
          <w:sz w:val="24"/>
          <w:szCs w:val="24"/>
          <w:vertAlign w:val="superscript"/>
        </w:rPr>
        <w:t>3</w:t>
      </w:r>
      <w:r w:rsidRPr="002E1F5B">
        <w:rPr>
          <w:bCs/>
          <w:sz w:val="24"/>
          <w:szCs w:val="24"/>
        </w:rPr>
        <w:t>, Павельев С.А.</w:t>
      </w:r>
      <w:r w:rsidRPr="002E1F5B">
        <w:rPr>
          <w:bCs/>
          <w:sz w:val="24"/>
          <w:szCs w:val="24"/>
          <w:vertAlign w:val="superscript"/>
        </w:rPr>
        <w:t xml:space="preserve"> 3</w:t>
      </w:r>
      <w:r w:rsidRPr="002E1F5B">
        <w:rPr>
          <w:bCs/>
          <w:sz w:val="24"/>
          <w:szCs w:val="24"/>
        </w:rPr>
        <w:t xml:space="preserve">, </w:t>
      </w:r>
    </w:p>
    <w:p w14:paraId="2F66FC7B" w14:textId="77777777" w:rsidR="00C97D8E" w:rsidRPr="002E1F5B" w:rsidRDefault="00C97D8E" w:rsidP="0048160F">
      <w:pPr>
        <w:pStyle w:val="a3"/>
        <w:rPr>
          <w:bCs/>
          <w:sz w:val="24"/>
          <w:szCs w:val="24"/>
        </w:rPr>
      </w:pPr>
      <w:r w:rsidRPr="002E1F5B">
        <w:rPr>
          <w:bCs/>
          <w:sz w:val="24"/>
          <w:szCs w:val="24"/>
        </w:rPr>
        <w:t>Терентьев А</w:t>
      </w:r>
      <w:bookmarkStart w:id="0" w:name="_heading=h.gjdgxs" w:colFirst="0" w:colLast="0"/>
      <w:bookmarkEnd w:id="0"/>
      <w:r w:rsidRPr="002E1F5B">
        <w:rPr>
          <w:bCs/>
          <w:sz w:val="24"/>
          <w:szCs w:val="24"/>
        </w:rPr>
        <w:t>.О.</w:t>
      </w:r>
      <w:r w:rsidRPr="002E1F5B">
        <w:rPr>
          <w:bCs/>
          <w:sz w:val="24"/>
          <w:szCs w:val="24"/>
          <w:vertAlign w:val="superscript"/>
        </w:rPr>
        <w:t>2,3</w:t>
      </w:r>
      <w:r w:rsidRPr="002E1F5B">
        <w:rPr>
          <w:bCs/>
          <w:sz w:val="24"/>
          <w:szCs w:val="24"/>
        </w:rPr>
        <w:t>.</w:t>
      </w:r>
    </w:p>
    <w:p w14:paraId="36260F8C" w14:textId="59905300" w:rsidR="009456EE" w:rsidRPr="009456EE" w:rsidRDefault="009456EE" w:rsidP="0048160F">
      <w:pPr>
        <w:pStyle w:val="a3"/>
        <w:rPr>
          <w:b w:val="0"/>
          <w:i/>
          <w:iCs/>
          <w:sz w:val="24"/>
          <w:szCs w:val="24"/>
        </w:rPr>
      </w:pPr>
      <w:r w:rsidRPr="009456EE">
        <w:rPr>
          <w:b w:val="0"/>
          <w:i/>
          <w:iCs/>
          <w:sz w:val="24"/>
          <w:szCs w:val="24"/>
        </w:rPr>
        <w:t>Студент 3 курса, специалитета</w:t>
      </w:r>
    </w:p>
    <w:p w14:paraId="1CF0B654" w14:textId="454D00D7" w:rsidR="00C97D8E" w:rsidRPr="000D0B06" w:rsidRDefault="00C97D8E" w:rsidP="0048160F">
      <w:pPr>
        <w:pStyle w:val="a3"/>
        <w:rPr>
          <w:b w:val="0"/>
          <w:i/>
          <w:iCs/>
          <w:sz w:val="24"/>
          <w:szCs w:val="24"/>
        </w:rPr>
      </w:pPr>
      <w:r w:rsidRPr="000D0B06">
        <w:rPr>
          <w:b w:val="0"/>
          <w:i/>
          <w:iCs/>
          <w:sz w:val="24"/>
          <w:szCs w:val="24"/>
          <w:vertAlign w:val="superscript"/>
        </w:rPr>
        <w:t>1</w:t>
      </w:r>
      <w:r w:rsidRPr="000D0B06">
        <w:rPr>
          <w:b w:val="0"/>
          <w:i/>
          <w:iCs/>
          <w:sz w:val="24"/>
          <w:szCs w:val="24"/>
        </w:rPr>
        <w:t>МГУ им. М.В. Ломоносова, Москва, Россия</w:t>
      </w:r>
    </w:p>
    <w:p w14:paraId="598F7E78" w14:textId="77777777" w:rsidR="00C97D8E" w:rsidRPr="000D0B06" w:rsidRDefault="00C97D8E" w:rsidP="0048160F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Cs w:val="24"/>
        </w:rPr>
      </w:pPr>
      <w:r w:rsidRPr="000D0B06">
        <w:rPr>
          <w:i/>
          <w:color w:val="000000"/>
          <w:szCs w:val="24"/>
          <w:vertAlign w:val="superscript"/>
        </w:rPr>
        <w:t>2</w:t>
      </w:r>
      <w:r w:rsidRPr="000D0B06">
        <w:rPr>
          <w:color w:val="000000"/>
          <w:szCs w:val="24"/>
        </w:rPr>
        <w:t xml:space="preserve"> </w:t>
      </w:r>
      <w:r w:rsidRPr="000D0B06">
        <w:rPr>
          <w:i/>
          <w:color w:val="000000"/>
          <w:szCs w:val="24"/>
        </w:rPr>
        <w:t>РХТУ им. Д.И. Менделеева, Москва, Россия</w:t>
      </w:r>
    </w:p>
    <w:p w14:paraId="70F3A625" w14:textId="77777777" w:rsidR="00C97D8E" w:rsidRPr="000D0B06" w:rsidRDefault="00C97D8E" w:rsidP="0048160F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Cs w:val="24"/>
        </w:rPr>
      </w:pPr>
      <w:r w:rsidRPr="000D0B06">
        <w:rPr>
          <w:i/>
          <w:color w:val="000000"/>
          <w:szCs w:val="24"/>
          <w:vertAlign w:val="superscript"/>
        </w:rPr>
        <w:t>3</w:t>
      </w:r>
      <w:r w:rsidRPr="000D0B06">
        <w:rPr>
          <w:color w:val="000000"/>
          <w:szCs w:val="24"/>
        </w:rPr>
        <w:t xml:space="preserve"> </w:t>
      </w:r>
      <w:r w:rsidRPr="000D0B06">
        <w:rPr>
          <w:i/>
          <w:color w:val="000000"/>
          <w:szCs w:val="24"/>
        </w:rPr>
        <w:t>ИОХ им. Н.Д. Зелинского РАН, Москва, Россия</w:t>
      </w:r>
    </w:p>
    <w:p w14:paraId="1A055B62" w14:textId="25619441" w:rsidR="00DC51FA" w:rsidRPr="000D0B06" w:rsidRDefault="00C97D8E" w:rsidP="0048160F">
      <w:pPr>
        <w:pStyle w:val="a3"/>
        <w:rPr>
          <w:b w:val="0"/>
          <w:bCs/>
          <w:sz w:val="24"/>
          <w:szCs w:val="24"/>
          <w:u w:val="single"/>
          <w:lang w:val="en-US"/>
        </w:rPr>
      </w:pPr>
      <w:r w:rsidRPr="000D0B06">
        <w:rPr>
          <w:b w:val="0"/>
          <w:bCs/>
          <w:i/>
          <w:color w:val="000000"/>
          <w:sz w:val="24"/>
          <w:szCs w:val="24"/>
          <w:lang w:val="en-US"/>
        </w:rPr>
        <w:t xml:space="preserve">E-mail: </w:t>
      </w:r>
      <w:r w:rsidRPr="000D0B06">
        <w:rPr>
          <w:b w:val="0"/>
          <w:bCs/>
          <w:i/>
          <w:sz w:val="24"/>
          <w:szCs w:val="24"/>
          <w:lang w:val="en-US"/>
        </w:rPr>
        <w:t>voropaeva.lika@bk.ru</w:t>
      </w:r>
    </w:p>
    <w:p w14:paraId="5EEA89EF" w14:textId="77777777" w:rsidR="000D0B06" w:rsidRPr="00D92B8B" w:rsidRDefault="000D0B06" w:rsidP="009812CB">
      <w:pPr>
        <w:spacing w:line="276" w:lineRule="auto"/>
        <w:ind w:firstLine="426"/>
        <w:jc w:val="both"/>
        <w:rPr>
          <w:sz w:val="22"/>
          <w:szCs w:val="22"/>
        </w:rPr>
      </w:pPr>
      <w:r w:rsidRPr="00D92B8B">
        <w:rPr>
          <w:sz w:val="22"/>
          <w:szCs w:val="22"/>
        </w:rPr>
        <w:t xml:space="preserve">Настоящая работа посвящена одной из активно развивающихся ветвей современной органической химии – органическому электросинтезу. </w:t>
      </w:r>
    </w:p>
    <w:p w14:paraId="66BA8B9C" w14:textId="27AA081D" w:rsidR="000D0B06" w:rsidRDefault="000D0B06" w:rsidP="009812CB">
      <w:pPr>
        <w:spacing w:line="276" w:lineRule="auto"/>
        <w:ind w:firstLine="426"/>
        <w:jc w:val="both"/>
        <w:rPr>
          <w:sz w:val="22"/>
          <w:szCs w:val="22"/>
        </w:rPr>
      </w:pPr>
      <w:r w:rsidRPr="00D92B8B">
        <w:rPr>
          <w:sz w:val="22"/>
          <w:szCs w:val="22"/>
        </w:rPr>
        <w:t>Первые электрохимические реакции были проведены ещё на рубеже XVIII и XIX веков и стали толчком для дальнейшего развития этой отрасли. В ходе электрохимических реакций на границе раздела фаз происходит перенос электронов, что приводит к окислительно-восстановительным процессам.</w:t>
      </w:r>
      <w:r>
        <w:rPr>
          <w:sz w:val="22"/>
          <w:szCs w:val="22"/>
        </w:rPr>
        <w:t xml:space="preserve"> Процесс переноса электрона зависит от множества факторов, но среди основных можно отметить материал используемого электрода, варьируя который можно добиться </w:t>
      </w:r>
      <w:r w:rsidRPr="00D92B8B">
        <w:rPr>
          <w:sz w:val="22"/>
          <w:szCs w:val="22"/>
        </w:rPr>
        <w:t>наибольш</w:t>
      </w:r>
      <w:r>
        <w:rPr>
          <w:sz w:val="22"/>
          <w:szCs w:val="22"/>
        </w:rPr>
        <w:t>ей селективности и эффективности</w:t>
      </w:r>
      <w:r w:rsidR="00C11A0E" w:rsidRPr="00C11A0E">
        <w:rPr>
          <w:sz w:val="22"/>
          <w:szCs w:val="22"/>
        </w:rPr>
        <w:t xml:space="preserve"> [</w:t>
      </w:r>
      <w:r w:rsidR="00C11A0E" w:rsidRPr="00A4011F">
        <w:rPr>
          <w:sz w:val="22"/>
          <w:szCs w:val="22"/>
        </w:rPr>
        <w:t>1</w:t>
      </w:r>
      <w:r w:rsidR="00C11A0E" w:rsidRPr="00C11A0E">
        <w:rPr>
          <w:sz w:val="22"/>
          <w:szCs w:val="22"/>
        </w:rPr>
        <w:t>]</w:t>
      </w:r>
      <w:r w:rsidRPr="00D92B8B">
        <w:rPr>
          <w:sz w:val="22"/>
          <w:szCs w:val="22"/>
        </w:rPr>
        <w:t xml:space="preserve">. Также в электрохимических превращениях немаловажную роль играет подбор растворителя и электролита, которые также отвечают за </w:t>
      </w:r>
      <w:r>
        <w:rPr>
          <w:sz w:val="22"/>
          <w:szCs w:val="22"/>
        </w:rPr>
        <w:t>физико-химические свойства реакционной смеси. Выбор электролита и растворителя осуществляется в соответствии с особенностями электрохимических процессов в изучаемой системе.</w:t>
      </w:r>
      <w:r w:rsidRPr="00D92B8B">
        <w:rPr>
          <w:sz w:val="22"/>
          <w:szCs w:val="22"/>
        </w:rPr>
        <w:t xml:space="preserve"> Преимуществ</w:t>
      </w:r>
      <w:r>
        <w:rPr>
          <w:sz w:val="22"/>
          <w:szCs w:val="22"/>
        </w:rPr>
        <w:t xml:space="preserve">ами </w:t>
      </w:r>
      <w:r w:rsidRPr="00D92B8B">
        <w:rPr>
          <w:sz w:val="22"/>
          <w:szCs w:val="22"/>
        </w:rPr>
        <w:t>органического электросинтеза явля</w:t>
      </w:r>
      <w:r>
        <w:rPr>
          <w:sz w:val="22"/>
          <w:szCs w:val="22"/>
        </w:rPr>
        <w:t>ю</w:t>
      </w:r>
      <w:r w:rsidRPr="00D92B8B">
        <w:rPr>
          <w:sz w:val="22"/>
          <w:szCs w:val="22"/>
        </w:rPr>
        <w:t>тся высокая селективность</w:t>
      </w:r>
      <w:r>
        <w:rPr>
          <w:sz w:val="22"/>
          <w:szCs w:val="22"/>
        </w:rPr>
        <w:t xml:space="preserve"> и экологичность, обусловленные снижением количества </w:t>
      </w:r>
      <w:r w:rsidRPr="00E67F88">
        <w:rPr>
          <w:sz w:val="22"/>
          <w:szCs w:val="22"/>
        </w:rPr>
        <w:t>побочных продуктов реакции</w:t>
      </w:r>
      <w:r>
        <w:rPr>
          <w:sz w:val="22"/>
          <w:szCs w:val="22"/>
        </w:rPr>
        <w:t xml:space="preserve"> и токсичных реагентов. Низкая стоимость электрического тока по сравнению с некоторыми материальными окислительно-восстановительными реагентами и возможность проведения реакций, для которых использование классических методов синтеза затруднительно позволяют использовать данные подходы для получения широкого круга органических и неорганических веществ.</w:t>
      </w:r>
    </w:p>
    <w:p w14:paraId="410614E8" w14:textId="77777777" w:rsidR="009812CB" w:rsidRPr="00D92B8B" w:rsidRDefault="009812CB" w:rsidP="000D0B06">
      <w:pPr>
        <w:spacing w:line="276" w:lineRule="auto"/>
        <w:ind w:firstLine="709"/>
        <w:jc w:val="both"/>
        <w:rPr>
          <w:sz w:val="22"/>
          <w:szCs w:val="22"/>
        </w:rPr>
      </w:pPr>
    </w:p>
    <w:p w14:paraId="10F3C492" w14:textId="4C9EBE38" w:rsidR="00DC51FA" w:rsidRPr="00DC51FA" w:rsidRDefault="00E735DD" w:rsidP="00E735DD">
      <w:pPr>
        <w:jc w:val="center"/>
        <w:rPr>
          <w:sz w:val="28"/>
          <w:szCs w:val="28"/>
        </w:rPr>
      </w:pPr>
      <w:r w:rsidRPr="00E735DD">
        <w:rPr>
          <w:noProof/>
          <w:sz w:val="28"/>
          <w:szCs w:val="28"/>
        </w:rPr>
        <w:drawing>
          <wp:inline distT="0" distB="0" distL="0" distR="0" wp14:anchorId="00F444A3" wp14:editId="05F3E63E">
            <wp:extent cx="4460875" cy="1995131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67146" cy="1997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141A1" w14:textId="56793940" w:rsidR="00DC51FA" w:rsidRPr="00A4011F" w:rsidRDefault="00DC51FA" w:rsidP="0048160F">
      <w:pPr>
        <w:jc w:val="center"/>
        <w:rPr>
          <w:b/>
          <w:bCs/>
          <w:szCs w:val="24"/>
        </w:rPr>
      </w:pPr>
      <w:r w:rsidRPr="00A4011F">
        <w:rPr>
          <w:b/>
          <w:bCs/>
          <w:szCs w:val="24"/>
        </w:rPr>
        <w:t xml:space="preserve">        Схема 1. Электрохимическая реакция</w:t>
      </w:r>
    </w:p>
    <w:p w14:paraId="5FFF70AA" w14:textId="77777777" w:rsidR="00DC51FA" w:rsidRPr="00DC51FA" w:rsidRDefault="00DC51FA" w:rsidP="0048160F">
      <w:pPr>
        <w:jc w:val="both"/>
        <w:rPr>
          <w:kern w:val="0"/>
          <w:sz w:val="28"/>
          <w:szCs w:val="28"/>
        </w:rPr>
      </w:pPr>
    </w:p>
    <w:p w14:paraId="1384916F" w14:textId="43474B68" w:rsidR="004045DD" w:rsidRPr="00A4011F" w:rsidRDefault="00DC51FA" w:rsidP="0048160F">
      <w:pPr>
        <w:jc w:val="both"/>
        <w:rPr>
          <w:szCs w:val="24"/>
        </w:rPr>
      </w:pPr>
      <w:r w:rsidRPr="002E1F5B">
        <w:rPr>
          <w:kern w:val="0"/>
          <w:szCs w:val="24"/>
        </w:rPr>
        <w:t>1</w:t>
      </w:r>
      <w:r w:rsidR="009456EE" w:rsidRPr="002E1F5B">
        <w:rPr>
          <w:kern w:val="0"/>
          <w:szCs w:val="24"/>
        </w:rPr>
        <w:t>.</w:t>
      </w:r>
      <w:r w:rsidRPr="002E1F5B">
        <w:rPr>
          <w:kern w:val="0"/>
          <w:szCs w:val="24"/>
        </w:rPr>
        <w:t xml:space="preserve"> </w:t>
      </w:r>
      <w:r w:rsidRPr="00A4011F">
        <w:rPr>
          <w:kern w:val="0"/>
          <w:szCs w:val="24"/>
          <w:lang w:val="en-US"/>
        </w:rPr>
        <w:t>Garg</w:t>
      </w:r>
      <w:r w:rsidRPr="002E1F5B">
        <w:rPr>
          <w:kern w:val="0"/>
          <w:szCs w:val="24"/>
        </w:rPr>
        <w:t xml:space="preserve">, </w:t>
      </w:r>
      <w:r w:rsidRPr="00A4011F">
        <w:rPr>
          <w:kern w:val="0"/>
          <w:szCs w:val="24"/>
          <w:lang w:val="en-US"/>
        </w:rPr>
        <w:t>S</w:t>
      </w:r>
      <w:r w:rsidRPr="002E1F5B">
        <w:rPr>
          <w:kern w:val="0"/>
          <w:szCs w:val="24"/>
        </w:rPr>
        <w:t xml:space="preserve">., </w:t>
      </w:r>
      <w:r w:rsidRPr="00A4011F">
        <w:rPr>
          <w:kern w:val="0"/>
          <w:szCs w:val="24"/>
          <w:lang w:val="en-US"/>
        </w:rPr>
        <w:t>Sohal</w:t>
      </w:r>
      <w:r w:rsidRPr="002E1F5B">
        <w:rPr>
          <w:kern w:val="0"/>
          <w:szCs w:val="24"/>
        </w:rPr>
        <w:t xml:space="preserve">, </w:t>
      </w:r>
      <w:r w:rsidRPr="00A4011F">
        <w:rPr>
          <w:kern w:val="0"/>
          <w:szCs w:val="24"/>
          <w:lang w:val="en-US"/>
        </w:rPr>
        <w:t>H</w:t>
      </w:r>
      <w:r w:rsidRPr="002E1F5B">
        <w:rPr>
          <w:kern w:val="0"/>
          <w:szCs w:val="24"/>
        </w:rPr>
        <w:t xml:space="preserve">. </w:t>
      </w:r>
      <w:r w:rsidRPr="00A4011F">
        <w:rPr>
          <w:kern w:val="0"/>
          <w:szCs w:val="24"/>
          <w:lang w:val="en-US"/>
        </w:rPr>
        <w:t>S</w:t>
      </w:r>
      <w:r w:rsidRPr="002E1F5B">
        <w:rPr>
          <w:kern w:val="0"/>
          <w:szCs w:val="24"/>
        </w:rPr>
        <w:t xml:space="preserve">., </w:t>
      </w:r>
      <w:r w:rsidRPr="00A4011F">
        <w:rPr>
          <w:kern w:val="0"/>
          <w:szCs w:val="24"/>
          <w:lang w:val="en-US"/>
        </w:rPr>
        <w:t>Malhi</w:t>
      </w:r>
      <w:r w:rsidRPr="002E1F5B">
        <w:rPr>
          <w:kern w:val="0"/>
          <w:szCs w:val="24"/>
        </w:rPr>
        <w:t xml:space="preserve">, </w:t>
      </w:r>
      <w:r w:rsidRPr="00A4011F">
        <w:rPr>
          <w:kern w:val="0"/>
          <w:szCs w:val="24"/>
          <w:lang w:val="en-US"/>
        </w:rPr>
        <w:t>D</w:t>
      </w:r>
      <w:r w:rsidRPr="002E1F5B">
        <w:rPr>
          <w:kern w:val="0"/>
          <w:szCs w:val="24"/>
        </w:rPr>
        <w:t xml:space="preserve">. </w:t>
      </w:r>
      <w:r w:rsidRPr="00A4011F">
        <w:rPr>
          <w:kern w:val="0"/>
          <w:szCs w:val="24"/>
          <w:lang w:val="en-US"/>
        </w:rPr>
        <w:t>S</w:t>
      </w:r>
      <w:r w:rsidRPr="002E1F5B">
        <w:rPr>
          <w:kern w:val="0"/>
          <w:szCs w:val="24"/>
        </w:rPr>
        <w:t xml:space="preserve">., </w:t>
      </w:r>
      <w:r w:rsidRPr="00A4011F">
        <w:rPr>
          <w:kern w:val="0"/>
          <w:szCs w:val="24"/>
          <w:lang w:val="en-US"/>
        </w:rPr>
        <w:t>Kaur</w:t>
      </w:r>
      <w:r w:rsidRPr="002E1F5B">
        <w:rPr>
          <w:kern w:val="0"/>
          <w:szCs w:val="24"/>
        </w:rPr>
        <w:t xml:space="preserve">, </w:t>
      </w:r>
      <w:r w:rsidRPr="00A4011F">
        <w:rPr>
          <w:kern w:val="0"/>
          <w:szCs w:val="24"/>
          <w:lang w:val="en-US"/>
        </w:rPr>
        <w:t>M</w:t>
      </w:r>
      <w:r w:rsidRPr="002E1F5B">
        <w:rPr>
          <w:kern w:val="0"/>
          <w:szCs w:val="24"/>
        </w:rPr>
        <w:t xml:space="preserve">., </w:t>
      </w:r>
      <w:r w:rsidRPr="00A4011F">
        <w:rPr>
          <w:kern w:val="0"/>
          <w:szCs w:val="24"/>
          <w:lang w:val="en-US"/>
        </w:rPr>
        <w:t>Singh</w:t>
      </w:r>
      <w:r w:rsidRPr="002E1F5B">
        <w:rPr>
          <w:kern w:val="0"/>
          <w:szCs w:val="24"/>
        </w:rPr>
        <w:t xml:space="preserve">, </w:t>
      </w:r>
      <w:r w:rsidRPr="00A4011F">
        <w:rPr>
          <w:kern w:val="0"/>
          <w:szCs w:val="24"/>
          <w:lang w:val="en-US"/>
        </w:rPr>
        <w:t>K</w:t>
      </w:r>
      <w:r w:rsidRPr="002E1F5B">
        <w:rPr>
          <w:kern w:val="0"/>
          <w:szCs w:val="24"/>
        </w:rPr>
        <w:t xml:space="preserve">., </w:t>
      </w:r>
      <w:r w:rsidRPr="00A4011F">
        <w:rPr>
          <w:kern w:val="0"/>
          <w:szCs w:val="24"/>
          <w:lang w:val="en-US"/>
        </w:rPr>
        <w:t>Sharma</w:t>
      </w:r>
      <w:r w:rsidRPr="002E1F5B">
        <w:rPr>
          <w:kern w:val="0"/>
          <w:szCs w:val="24"/>
        </w:rPr>
        <w:t xml:space="preserve">, </w:t>
      </w:r>
      <w:r w:rsidRPr="00A4011F">
        <w:rPr>
          <w:kern w:val="0"/>
          <w:szCs w:val="24"/>
          <w:lang w:val="en-US"/>
        </w:rPr>
        <w:t>A</w:t>
      </w:r>
      <w:r w:rsidRPr="002E1F5B">
        <w:rPr>
          <w:kern w:val="0"/>
          <w:szCs w:val="24"/>
        </w:rPr>
        <w:t xml:space="preserve">., </w:t>
      </w:r>
      <w:r w:rsidRPr="00A4011F">
        <w:rPr>
          <w:kern w:val="0"/>
          <w:szCs w:val="24"/>
          <w:lang w:val="en-US"/>
        </w:rPr>
        <w:t>Mutreja</w:t>
      </w:r>
      <w:r w:rsidRPr="002E1F5B">
        <w:rPr>
          <w:kern w:val="0"/>
          <w:szCs w:val="24"/>
        </w:rPr>
        <w:t xml:space="preserve">, </w:t>
      </w:r>
      <w:r w:rsidRPr="00A4011F">
        <w:rPr>
          <w:kern w:val="0"/>
          <w:szCs w:val="24"/>
          <w:lang w:val="en-US"/>
        </w:rPr>
        <w:t>V</w:t>
      </w:r>
      <w:r w:rsidRPr="002E1F5B">
        <w:rPr>
          <w:kern w:val="0"/>
          <w:szCs w:val="24"/>
        </w:rPr>
        <w:t xml:space="preserve">., </w:t>
      </w:r>
      <w:r w:rsidRPr="00A4011F">
        <w:rPr>
          <w:kern w:val="0"/>
          <w:szCs w:val="24"/>
          <w:lang w:val="en-US"/>
        </w:rPr>
        <w:t>Thakur</w:t>
      </w:r>
      <w:r w:rsidRPr="002E1F5B">
        <w:rPr>
          <w:kern w:val="0"/>
          <w:szCs w:val="24"/>
        </w:rPr>
        <w:t xml:space="preserve">, </w:t>
      </w:r>
      <w:r w:rsidRPr="00A4011F">
        <w:rPr>
          <w:kern w:val="0"/>
          <w:szCs w:val="24"/>
          <w:lang w:val="en-US"/>
        </w:rPr>
        <w:t>D</w:t>
      </w:r>
      <w:r w:rsidRPr="002E1F5B">
        <w:rPr>
          <w:kern w:val="0"/>
          <w:szCs w:val="24"/>
        </w:rPr>
        <w:t xml:space="preserve">., &amp; </w:t>
      </w:r>
      <w:r w:rsidRPr="00A4011F">
        <w:rPr>
          <w:kern w:val="0"/>
          <w:szCs w:val="24"/>
          <w:lang w:val="en-US"/>
        </w:rPr>
        <w:t>Kaur</w:t>
      </w:r>
      <w:r w:rsidRPr="002E1F5B">
        <w:rPr>
          <w:kern w:val="0"/>
          <w:szCs w:val="24"/>
        </w:rPr>
        <w:t xml:space="preserve">, </w:t>
      </w:r>
      <w:r w:rsidRPr="00A4011F">
        <w:rPr>
          <w:kern w:val="0"/>
          <w:szCs w:val="24"/>
          <w:lang w:val="en-US"/>
        </w:rPr>
        <w:t>L</w:t>
      </w:r>
      <w:r w:rsidRPr="002E1F5B">
        <w:rPr>
          <w:kern w:val="0"/>
          <w:szCs w:val="24"/>
        </w:rPr>
        <w:t xml:space="preserve">. (2022). </w:t>
      </w:r>
      <w:r w:rsidRPr="00A4011F">
        <w:rPr>
          <w:kern w:val="0"/>
          <w:szCs w:val="24"/>
          <w:lang w:val="en-US"/>
        </w:rPr>
        <w:t xml:space="preserve">Electrochemical Method: A Green Approach for the Synthesis of Organic Compounds. </w:t>
      </w:r>
      <w:r w:rsidRPr="00A4011F">
        <w:rPr>
          <w:i/>
          <w:iCs/>
          <w:kern w:val="0"/>
          <w:szCs w:val="24"/>
          <w:lang w:val="en-US"/>
        </w:rPr>
        <w:t>Current Organic Chemistry</w:t>
      </w:r>
      <w:r w:rsidRPr="00A4011F">
        <w:rPr>
          <w:kern w:val="0"/>
          <w:szCs w:val="24"/>
          <w:lang w:val="en-US"/>
        </w:rPr>
        <w:t xml:space="preserve">, </w:t>
      </w:r>
      <w:r w:rsidRPr="00A4011F">
        <w:rPr>
          <w:i/>
          <w:iCs/>
          <w:kern w:val="0"/>
          <w:szCs w:val="24"/>
          <w:lang w:val="en-US"/>
        </w:rPr>
        <w:t>26</w:t>
      </w:r>
      <w:r w:rsidRPr="00A4011F">
        <w:rPr>
          <w:kern w:val="0"/>
          <w:szCs w:val="24"/>
          <w:lang w:val="en-US"/>
        </w:rPr>
        <w:t xml:space="preserve">(10), 899–919. </w:t>
      </w:r>
    </w:p>
    <w:sectPr w:rsidR="004045DD" w:rsidRPr="00A4011F" w:rsidSect="0048160F">
      <w:pgSz w:w="11907" w:h="16840" w:code="9"/>
      <w:pgMar w:top="1134" w:right="1361" w:bottom="1134" w:left="1361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283"/>
    <w:rsid w:val="00016651"/>
    <w:rsid w:val="00026841"/>
    <w:rsid w:val="00094068"/>
    <w:rsid w:val="000A6FD8"/>
    <w:rsid w:val="000D0B06"/>
    <w:rsid w:val="001A226E"/>
    <w:rsid w:val="001A2790"/>
    <w:rsid w:val="001B5946"/>
    <w:rsid w:val="00227B6A"/>
    <w:rsid w:val="002344D1"/>
    <w:rsid w:val="002B120C"/>
    <w:rsid w:val="002E1F5B"/>
    <w:rsid w:val="00336A4D"/>
    <w:rsid w:val="00353876"/>
    <w:rsid w:val="00380D27"/>
    <w:rsid w:val="003F61AA"/>
    <w:rsid w:val="004045DD"/>
    <w:rsid w:val="004654A0"/>
    <w:rsid w:val="0048160F"/>
    <w:rsid w:val="005235D8"/>
    <w:rsid w:val="006319D0"/>
    <w:rsid w:val="00651D47"/>
    <w:rsid w:val="006B3283"/>
    <w:rsid w:val="007C1BC4"/>
    <w:rsid w:val="00836069"/>
    <w:rsid w:val="00860AD9"/>
    <w:rsid w:val="008D1CD0"/>
    <w:rsid w:val="0092445A"/>
    <w:rsid w:val="009456EE"/>
    <w:rsid w:val="00947FD2"/>
    <w:rsid w:val="009812CB"/>
    <w:rsid w:val="00A141DC"/>
    <w:rsid w:val="00A23E1A"/>
    <w:rsid w:val="00A4011F"/>
    <w:rsid w:val="00A77174"/>
    <w:rsid w:val="00B01F5D"/>
    <w:rsid w:val="00B76B96"/>
    <w:rsid w:val="00B962E5"/>
    <w:rsid w:val="00C11A0E"/>
    <w:rsid w:val="00C97D8E"/>
    <w:rsid w:val="00CD713B"/>
    <w:rsid w:val="00D26DC6"/>
    <w:rsid w:val="00DA4B6A"/>
    <w:rsid w:val="00DC51FA"/>
    <w:rsid w:val="00DD06F6"/>
    <w:rsid w:val="00E22CA8"/>
    <w:rsid w:val="00E61F16"/>
    <w:rsid w:val="00E675C0"/>
    <w:rsid w:val="00E735DD"/>
    <w:rsid w:val="00EF33D0"/>
    <w:rsid w:val="00F1029B"/>
    <w:rsid w:val="00F65104"/>
    <w:rsid w:val="00F95EDC"/>
    <w:rsid w:val="00FD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D6ECE56"/>
  <w15:chartTrackingRefBased/>
  <w15:docId w15:val="{E81C026F-F17C-4A7A-B051-43556E93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3283"/>
    <w:rPr>
      <w:kern w:val="24"/>
      <w:sz w:val="24"/>
    </w:rPr>
  </w:style>
  <w:style w:type="paragraph" w:styleId="5">
    <w:name w:val="heading 5"/>
    <w:basedOn w:val="a"/>
    <w:next w:val="a"/>
    <w:qFormat/>
    <w:rsid w:val="006B3283"/>
    <w:pPr>
      <w:keepNext/>
      <w:jc w:val="center"/>
      <w:outlineLvl w:val="4"/>
    </w:pPr>
    <w:rPr>
      <w:b/>
      <w:iCs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uiPriority w:val="10"/>
    <w:qFormat/>
    <w:rsid w:val="006B3283"/>
    <w:pPr>
      <w:jc w:val="center"/>
    </w:pPr>
    <w:rPr>
      <w:b/>
      <w:sz w:val="44"/>
    </w:rPr>
  </w:style>
  <w:style w:type="paragraph" w:customStyle="1" w:styleId="a5">
    <w:name w:val="Îáû÷íûé"/>
    <w:rsid w:val="006B3283"/>
    <w:rPr>
      <w:sz w:val="24"/>
    </w:rPr>
  </w:style>
  <w:style w:type="character" w:styleId="a6">
    <w:name w:val="Hyperlink"/>
    <w:rsid w:val="006B3283"/>
    <w:rPr>
      <w:color w:val="0000FF"/>
      <w:u w:val="single"/>
    </w:rPr>
  </w:style>
  <w:style w:type="paragraph" w:customStyle="1" w:styleId="A7">
    <w:name w:val="Текстовый блок A"/>
    <w:rsid w:val="004045DD"/>
    <w:rPr>
      <w:rFonts w:ascii="Helvetica" w:eastAsia="ヒラギノ角ゴ Pro W3" w:hAnsi="Helvetica"/>
      <w:color w:val="000000"/>
      <w:sz w:val="24"/>
    </w:rPr>
  </w:style>
  <w:style w:type="table" w:styleId="a8">
    <w:name w:val="Table Grid"/>
    <w:basedOn w:val="a1"/>
    <w:rsid w:val="00404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4045DD"/>
    <w:pPr>
      <w:tabs>
        <w:tab w:val="center" w:pos="4677"/>
        <w:tab w:val="right" w:pos="9355"/>
      </w:tabs>
    </w:pPr>
    <w:rPr>
      <w:kern w:val="0"/>
      <w:szCs w:val="24"/>
    </w:rPr>
  </w:style>
  <w:style w:type="character" w:customStyle="1" w:styleId="a4">
    <w:name w:val="Заголовок Знак"/>
    <w:link w:val="a3"/>
    <w:uiPriority w:val="10"/>
    <w:rsid w:val="00C97D8E"/>
    <w:rPr>
      <w:b/>
      <w:kern w:val="2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 оформления тезисов доклада</vt:lpstr>
    </vt:vector>
  </TitlesOfParts>
  <Company/>
  <LinksUpToDate>false</LinksUpToDate>
  <CharactersWithSpaces>2086</CharactersWithSpaces>
  <SharedDoc>false</SharedDoc>
  <HLinks>
    <vt:vector size="6" baseType="variant">
      <vt:variant>
        <vt:i4>3801102</vt:i4>
      </vt:variant>
      <vt:variant>
        <vt:i4>0</vt:i4>
      </vt:variant>
      <vt:variant>
        <vt:i4>0</vt:i4>
      </vt:variant>
      <vt:variant>
        <vt:i4>5</vt:i4>
      </vt:variant>
      <vt:variant>
        <vt:lpwstr>mailto:ivanov@mail.ru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оформления тезисов доклада</dc:title>
  <dc:subject/>
  <dc:creator>ННГУ</dc:creator>
  <cp:keywords/>
  <dc:description/>
  <cp:lastModifiedBy>Polyanskaya Anzhelika</cp:lastModifiedBy>
  <cp:revision>8</cp:revision>
  <dcterms:created xsi:type="dcterms:W3CDTF">2026-01-02T09:28:00Z</dcterms:created>
  <dcterms:modified xsi:type="dcterms:W3CDTF">2026-03-01T18:26:00Z</dcterms:modified>
</cp:coreProperties>
</file>