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0E2082" w:rsidRDefault="00000000" w:rsidP="00BA2F67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</w:pPr>
      <w:r>
        <w:rPr>
          <w:b/>
        </w:rPr>
        <w:t xml:space="preserve">Координационные соединения титана (+4) с </w:t>
      </w:r>
      <w:proofErr w:type="spellStart"/>
      <w:r>
        <w:rPr>
          <w:b/>
        </w:rPr>
        <w:t>диольными</w:t>
      </w:r>
      <w:proofErr w:type="spellEnd"/>
      <w:r>
        <w:rPr>
          <w:b/>
        </w:rPr>
        <w:t xml:space="preserve"> лигандами – катализаторы синтеза сверхвысокомолекулярного полиэтилена</w:t>
      </w:r>
    </w:p>
    <w:p w14:paraId="02000000" w14:textId="77777777" w:rsidR="000E2082" w:rsidRDefault="00000000" w:rsidP="00BA2F67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</w:pPr>
      <w:r>
        <w:rPr>
          <w:b/>
          <w:i/>
        </w:rPr>
        <w:t>Врунов Т.С.</w:t>
      </w:r>
      <w:r>
        <w:rPr>
          <w:b/>
          <w:i/>
          <w:vertAlign w:val="superscript"/>
        </w:rPr>
        <w:t>1</w:t>
      </w:r>
      <w:r>
        <w:rPr>
          <w:b/>
          <w:i/>
        </w:rPr>
        <w:t xml:space="preserve">, Сапрыкин М.Э., Вихров А.О. </w:t>
      </w:r>
      <w:r>
        <w:rPr>
          <w:b/>
          <w:i/>
          <w:vertAlign w:val="superscript"/>
        </w:rPr>
        <w:t>1,2</w:t>
      </w:r>
    </w:p>
    <w:p w14:paraId="03000000" w14:textId="77777777" w:rsidR="000E2082" w:rsidRDefault="00000000" w:rsidP="00BA2F67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</w:pPr>
      <w:r>
        <w:rPr>
          <w:i/>
        </w:rPr>
        <w:t xml:space="preserve">Студент, 3 курс специалитета </w:t>
      </w:r>
    </w:p>
    <w:p w14:paraId="04000000" w14:textId="77777777" w:rsidR="000E2082" w:rsidRDefault="00000000" w:rsidP="00BA2F67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</w:pPr>
      <w:r>
        <w:rPr>
          <w:i/>
          <w:vertAlign w:val="superscript"/>
        </w:rPr>
        <w:t>1</w:t>
      </w:r>
      <w:r>
        <w:rPr>
          <w:i/>
        </w:rPr>
        <w:t xml:space="preserve">МГУ имени М.В. Ломоносова, химический факультет, Москва, Россия </w:t>
      </w:r>
      <w:r>
        <w:rPr>
          <w:i/>
        </w:rPr>
        <w:br/>
      </w:r>
      <w:r>
        <w:rPr>
          <w:i/>
          <w:vertAlign w:val="superscript"/>
        </w:rPr>
        <w:t>2</w:t>
      </w:r>
      <w:r>
        <w:rPr>
          <w:i/>
        </w:rPr>
        <w:t>Институт элементоорганических соединений им. А.Н. Несмеянова РАН, Москва, Россия</w:t>
      </w:r>
    </w:p>
    <w:p w14:paraId="05000000" w14:textId="77777777" w:rsidR="000E2082" w:rsidRDefault="00000000" w:rsidP="00BA2F67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</w:pPr>
      <w:r>
        <w:rPr>
          <w:i/>
        </w:rPr>
        <w:t xml:space="preserve">E-mail: </w:t>
      </w:r>
      <w:r>
        <w:rPr>
          <w:i/>
          <w:u w:val="single"/>
        </w:rPr>
        <w:t>Xliber3@gmail.com</w:t>
      </w:r>
    </w:p>
    <w:p w14:paraId="06000000" w14:textId="49397842" w:rsidR="000E2082" w:rsidRDefault="00000000" w:rsidP="006F18ED">
      <w:pPr>
        <w:spacing w:before="20" w:after="20"/>
        <w:ind w:firstLine="397"/>
        <w:jc w:val="both"/>
      </w:pPr>
      <w:r>
        <w:t xml:space="preserve">Комплексы </w:t>
      </w:r>
      <m:oMath>
        <m:r>
          <w:rPr>
            <w:rFonts w:ascii="Cambria Math" w:hAnsi="Cambria Math"/>
          </w:rPr>
          <m:t>Ti</m:t>
        </m:r>
      </m:oMath>
      <w:r>
        <w:t xml:space="preserve">(IV) с 1,4-диольными лигандами, активированные смесью </w:t>
      </w:r>
      <m:oMath>
        <m:r>
          <w:rPr>
            <w:rFonts w:ascii="Cambria Math" w:hAnsi="Cambria Math"/>
          </w:rPr>
          <m:t>Et</m:t>
        </m:r>
        <m:r>
          <w:rPr>
            <w:rFonts w:ascii="Cambria Math" w:hAnsi="Cambria Math"/>
            <w:vertAlign w:val="subscript"/>
          </w:rPr>
          <m:t>2</m:t>
        </m:r>
        <m:r>
          <w:rPr>
            <w:rFonts w:ascii="Cambria Math" w:hAnsi="Cambria Math"/>
          </w:rPr>
          <m:t>AlCl/Bu</m:t>
        </m:r>
        <m:r>
          <w:rPr>
            <w:rFonts w:ascii="Cambria Math" w:hAnsi="Cambria Math"/>
            <w:vertAlign w:val="subscript"/>
          </w:rPr>
          <m:t>2</m:t>
        </m:r>
        <m:r>
          <w:rPr>
            <w:rFonts w:ascii="Cambria Math" w:hAnsi="Cambria Math"/>
          </w:rPr>
          <m:t>Mg</m:t>
        </m:r>
      </m:oMath>
      <w:r>
        <w:t xml:space="preserve">, способны катализировать синтез СВМПЭ с низкой степенью переплетения макромолекул [1]. Такой полимерный продукт может быть переработан твердофазным методом в высокопрочные и высокомодульные пленки и нити. Однако, конформационная лабильность 1,4-диольных лигандов, приводит к образованию комплексов состава </w:t>
      </w:r>
      <m:oMath>
        <m:r>
          <w:rPr>
            <w:rFonts w:ascii="Cambria Math" w:hAnsi="Cambria Math"/>
          </w:rPr>
          <m:t>L</m:t>
        </m:r>
        <m:r>
          <w:rPr>
            <w:rFonts w:ascii="Cambria Math" w:hAnsi="Cambria Math"/>
            <w:vertAlign w:val="subscript"/>
          </w:rPr>
          <m:t>3</m:t>
        </m:r>
        <m:r>
          <w:rPr>
            <w:rFonts w:ascii="Cambria Math" w:hAnsi="Cambria Math"/>
          </w:rPr>
          <m:t>Ti</m:t>
        </m:r>
        <m:r>
          <w:rPr>
            <w:rFonts w:ascii="Cambria Math" w:hAnsi="Cambria Math"/>
            <w:vertAlign w:val="subscript"/>
          </w:rPr>
          <m:t>2</m:t>
        </m:r>
        <m:r>
          <w:rPr>
            <w:rFonts w:ascii="Cambria Math" w:hAnsi="Cambria Math"/>
          </w:rPr>
          <m:t>(O</m:t>
        </m:r>
        <m:r>
          <w:rPr>
            <w:rFonts w:ascii="Cambria Math" w:hAnsi="Cambria Math"/>
            <w:vertAlign w:val="superscript"/>
          </w:rPr>
          <m:t>i</m:t>
        </m:r>
        <m:r>
          <w:rPr>
            <w:rFonts w:ascii="Cambria Math" w:hAnsi="Cambria Math"/>
          </w:rPr>
          <m:t>Pr)</m:t>
        </m:r>
        <m:r>
          <w:rPr>
            <w:rFonts w:ascii="Cambria Math" w:hAnsi="Cambria Math"/>
            <w:vertAlign w:val="subscript"/>
          </w:rPr>
          <m:t>2</m:t>
        </m:r>
      </m:oMath>
      <w:r>
        <w:t xml:space="preserve">. Вероятнее всего, в процессе алкилирования подобных структур алюминийорганическими соединениями биметаллический комплекс разрушится с образованием более простых соединений, что неизбежно приведет к появлению в системе набора каталитически активных частиц и уширению ММР полимера. Действительно, использование стабильных пятичленных комплексов, полученных на основе 1,2-диольных лигандов, позволило получить более прочные пленки и пленочные </w:t>
      </w:r>
      <w:r w:rsidR="00BA2F67">
        <w:t>нити</w:t>
      </w:r>
      <w:r w:rsidR="006F18ED">
        <w:t xml:space="preserve"> </w:t>
      </w:r>
      <w:r w:rsidR="006F18ED" w:rsidRPr="006F18ED">
        <w:t>[2]</w:t>
      </w:r>
      <w:r w:rsidR="00BA2F67" w:rsidRPr="006F18ED">
        <w:t>.</w:t>
      </w:r>
      <w:r>
        <w:t xml:space="preserve"> </w:t>
      </w:r>
    </w:p>
    <w:p w14:paraId="07000000" w14:textId="3466E895" w:rsidR="000E2082" w:rsidRDefault="00000000" w:rsidP="00917BBB">
      <w:pPr>
        <w:spacing w:before="20" w:after="20"/>
        <w:ind w:firstLine="397"/>
        <w:jc w:val="both"/>
      </w:pPr>
      <w:r>
        <w:t xml:space="preserve">Взаимодействием лигандов с тремя донорными атомами кислорода с хлоридом и </w:t>
      </w:r>
      <w:proofErr w:type="spellStart"/>
      <w:r>
        <w:t>изопропоксидом</w:t>
      </w:r>
      <w:proofErr w:type="spellEnd"/>
      <w:r>
        <w:t xml:space="preserve"> </w:t>
      </w:r>
      <w:r w:rsidR="00BA2F67">
        <w:t>титана (</w:t>
      </w:r>
      <w:r>
        <w:t xml:space="preserve">+4) привело к получению соответствующих комплексов. </w:t>
      </w:r>
    </w:p>
    <w:p w14:paraId="08000000" w14:textId="37514E05" w:rsidR="000E2082" w:rsidRDefault="00000000" w:rsidP="00917BBB">
      <w:pPr>
        <w:spacing w:before="20" w:after="20"/>
        <w:ind w:firstLine="397"/>
        <w:jc w:val="both"/>
      </w:pPr>
      <w:r>
        <w:t xml:space="preserve">Использование синтезированных хлоридных и </w:t>
      </w:r>
      <w:proofErr w:type="spellStart"/>
      <w:r>
        <w:t>изопропоксидных</w:t>
      </w:r>
      <w:proofErr w:type="spellEnd"/>
      <w:r>
        <w:t xml:space="preserve"> комплексов с </w:t>
      </w:r>
      <w:proofErr w:type="spellStart"/>
      <w:r>
        <w:t>диольным</w:t>
      </w:r>
      <w:proofErr w:type="spellEnd"/>
      <w:r>
        <w:t xml:space="preserve"> лигандом содержащим дополнительный донорный атом кислорода в присутствии бинарного активатора</w:t>
      </w:r>
      <w:r>
        <w:rPr>
          <w:vertAlign w:val="subscript"/>
        </w:rPr>
        <w:t xml:space="preserve"> </w:t>
      </w:r>
      <m:oMath>
        <m:r>
          <w:rPr>
            <w:rFonts w:ascii="Cambria Math" w:hAnsi="Cambria Math"/>
          </w:rPr>
          <m:t>{3Et</m:t>
        </m:r>
        <m:r>
          <w:rPr>
            <w:rFonts w:ascii="Cambria Math" w:hAnsi="Cambria Math"/>
            <w:vertAlign w:val="subscript"/>
          </w:rPr>
          <m:t>2</m:t>
        </m:r>
        <m:r>
          <w:rPr>
            <w:rFonts w:ascii="Cambria Math" w:hAnsi="Cambria Math"/>
          </w:rPr>
          <m:t>AlCl+Bu</m:t>
        </m:r>
        <m:r>
          <w:rPr>
            <w:rFonts w:ascii="Cambria Math" w:hAnsi="Cambria Math"/>
            <w:vertAlign w:val="subscript"/>
          </w:rPr>
          <m:t>2</m:t>
        </m:r>
        <m:r>
          <w:rPr>
            <w:rFonts w:ascii="Cambria Math" w:hAnsi="Cambria Math"/>
          </w:rPr>
          <m:t>Mg}</m:t>
        </m:r>
      </m:oMath>
      <w:r>
        <w:t>, привело к получению высокоэффективных катализаторов синтеза СВМПЭ (активность до 3200 кг ПЭ моль</w:t>
      </w:r>
      <w:r>
        <w:rPr>
          <w:vertAlign w:val="superscript"/>
        </w:rPr>
        <w:t>-1</w:t>
      </w:r>
      <w:r>
        <w:t xml:space="preserve"> ч</w:t>
      </w:r>
      <w:r>
        <w:rPr>
          <w:vertAlign w:val="superscript"/>
        </w:rPr>
        <w:t>-1</w:t>
      </w:r>
      <w:r>
        <w:t xml:space="preserve"> атм</w:t>
      </w:r>
      <w:r>
        <w:rPr>
          <w:vertAlign w:val="superscript"/>
        </w:rPr>
        <w:t>1</w:t>
      </w:r>
      <w:r>
        <w:t xml:space="preserve">). </w:t>
      </w:r>
    </w:p>
    <w:p w14:paraId="09000000" w14:textId="5B0041C4" w:rsidR="000E2082" w:rsidRDefault="00000000" w:rsidP="00917BBB">
      <w:pPr>
        <w:spacing w:before="20" w:after="20"/>
        <w:ind w:firstLine="397"/>
        <w:jc w:val="both"/>
      </w:pPr>
      <w:r>
        <w:t xml:space="preserve">Природа и состав АОС также оказывает существенное влияние на величины молекулярных масс образцов СВМПЭ. Наименьшие значения </w:t>
      </w:r>
      <w:proofErr w:type="spellStart"/>
      <w:r>
        <w:t>Mv</w:t>
      </w:r>
      <w:proofErr w:type="spellEnd"/>
      <w:r>
        <w:t xml:space="preserve"> были получены на системах, содержащих </w:t>
      </w:r>
      <m:oMath>
        <m:r>
          <w:rPr>
            <w:rFonts w:ascii="Cambria Math" w:hAnsi="Cambria Math"/>
          </w:rPr>
          <m:t>MeAlCl</m:t>
        </m:r>
        <m:r>
          <w:rPr>
            <w:rFonts w:ascii="Cambria Math" w:hAnsi="Cambria Math"/>
            <w:vertAlign w:val="subscript"/>
          </w:rPr>
          <m:t>2</m:t>
        </m:r>
      </m:oMath>
      <w:r>
        <w:t xml:space="preserve">. С увеличением размера углеводородных радикалов – при использовании </w:t>
      </w:r>
      <m:oMath>
        <m:r>
          <w:rPr>
            <w:rFonts w:ascii="Cambria Math" w:hAnsi="Cambria Math"/>
          </w:rPr>
          <m:t>EtAlCl</m:t>
        </m:r>
        <m:r>
          <w:rPr>
            <w:rFonts w:ascii="Cambria Math" w:hAnsi="Cambria Math"/>
            <w:vertAlign w:val="subscript"/>
          </w:rPr>
          <m:t>2</m:t>
        </m:r>
      </m:oMath>
      <w:r>
        <w:t xml:space="preserve"> молекулярные массы полимера незначительно увеличиваются. Существенное увеличение значений </w:t>
      </w:r>
      <w:proofErr w:type="spellStart"/>
      <w:r w:rsidR="00BA2F67">
        <w:t>Mv</w:t>
      </w:r>
      <w:proofErr w:type="spellEnd"/>
      <w:r w:rsidR="00BA2F67">
        <w:t xml:space="preserve"> достигается</w:t>
      </w:r>
      <w:r>
        <w:t xml:space="preserve"> применением АОС с наибольшей </w:t>
      </w:r>
      <w:proofErr w:type="spellStart"/>
      <w:r>
        <w:t>Льюисовой</w:t>
      </w:r>
      <w:proofErr w:type="spellEnd"/>
      <w:r>
        <w:t xml:space="preserve"> кислотностью - </w:t>
      </w:r>
      <m:oMath>
        <m:r>
          <w:rPr>
            <w:rFonts w:ascii="Cambria Math" w:hAnsi="Cambria Math"/>
          </w:rPr>
          <m:t>Et</m:t>
        </m:r>
        <m:r>
          <w:rPr>
            <w:rFonts w:ascii="Cambria Math" w:hAnsi="Cambria Math"/>
            <w:vertAlign w:val="subscript"/>
          </w:rPr>
          <m:t>3</m:t>
        </m:r>
        <m:r>
          <w:rPr>
            <w:rFonts w:ascii="Cambria Math" w:hAnsi="Cambria Math"/>
          </w:rPr>
          <m:t>Al</m:t>
        </m:r>
        <m:r>
          <w:rPr>
            <w:rFonts w:ascii="Cambria Math" w:hAnsi="Cambria Math"/>
            <w:vertAlign w:val="subscript"/>
          </w:rPr>
          <m:t>2</m:t>
        </m:r>
        <m:r>
          <w:rPr>
            <w:rFonts w:ascii="Cambria Math" w:hAnsi="Cambria Math"/>
          </w:rPr>
          <m:t>Cl</m:t>
        </m:r>
        <m:r>
          <w:rPr>
            <w:rFonts w:ascii="Cambria Math" w:hAnsi="Cambria Math"/>
            <w:vertAlign w:val="subscript"/>
          </w:rPr>
          <m:t>3</m:t>
        </m:r>
      </m:oMath>
      <w:r>
        <w:t xml:space="preserve"> и </w:t>
      </w:r>
      <m:oMath>
        <m:r>
          <w:rPr>
            <w:rFonts w:ascii="Cambria Math" w:hAnsi="Cambria Math"/>
          </w:rPr>
          <m:t>EtAlCl</m:t>
        </m:r>
        <m:r>
          <w:rPr>
            <w:rFonts w:ascii="Cambria Math" w:hAnsi="Cambria Math"/>
            <w:vertAlign w:val="subscript"/>
          </w:rPr>
          <m:t>2</m:t>
        </m:r>
      </m:oMath>
      <w:r>
        <w:t xml:space="preserve">. </w:t>
      </w:r>
    </w:p>
    <w:p w14:paraId="0A000000" w14:textId="77777777" w:rsidR="000E2082" w:rsidRDefault="00000000" w:rsidP="00917BBB">
      <w:pPr>
        <w:spacing w:before="20" w:after="20"/>
        <w:ind w:firstLine="397"/>
        <w:jc w:val="both"/>
      </w:pPr>
      <w:r>
        <w:t xml:space="preserve">Изучены физико-химические свойства полученных </w:t>
      </w:r>
      <w:proofErr w:type="spellStart"/>
      <w:r>
        <w:t>насцентных</w:t>
      </w:r>
      <w:proofErr w:type="spellEnd"/>
      <w:r>
        <w:t xml:space="preserve"> порошков и ориентированных нитей. Термомеханический анализ полученных образцов СВМПЭ в присутствии антиоксиданта Ирганокс-1010 (0,1 – 2%) показал, что в области 140</w:t>
      </w:r>
      <w:r>
        <w:rPr>
          <w:vertAlign w:val="superscript"/>
        </w:rPr>
        <w:t>о</w:t>
      </w:r>
      <w:r>
        <w:t>С – температуры плавления СВМПЭ, наблюдается деформация образца на величину от 65-70%.</w:t>
      </w:r>
    </w:p>
    <w:p w14:paraId="0B000000" w14:textId="77777777" w:rsidR="000E2082" w:rsidRDefault="00000000" w:rsidP="00917BBB">
      <w:pPr>
        <w:spacing w:before="20" w:after="20"/>
        <w:ind w:firstLine="397"/>
        <w:jc w:val="both"/>
      </w:pPr>
      <w:r>
        <w:t xml:space="preserve">Показано, что синтезированные </w:t>
      </w:r>
      <w:proofErr w:type="spellStart"/>
      <w:r>
        <w:t>постметаллоценовые</w:t>
      </w:r>
      <w:proofErr w:type="spellEnd"/>
      <w:r>
        <w:t xml:space="preserve"> каталитические системы способны производить полиэтилен с морфологией, позволяющей перерабатывать его методом твердофазного формования </w:t>
      </w:r>
      <w:proofErr w:type="spellStart"/>
      <w:r>
        <w:t>сверхвысокопрочных</w:t>
      </w:r>
      <w:proofErr w:type="spellEnd"/>
      <w:r>
        <w:t xml:space="preserve"> (разрывная прочность выше 2.5 ГПа) и </w:t>
      </w:r>
      <w:proofErr w:type="spellStart"/>
      <w:r>
        <w:t>сверхвысокомодульных</w:t>
      </w:r>
      <w:proofErr w:type="spellEnd"/>
      <w:r>
        <w:t xml:space="preserve"> (модуль упругости выше 150 ГПа) ориентированных нитей и волокон.</w:t>
      </w:r>
    </w:p>
    <w:p w14:paraId="0C000000" w14:textId="77777777" w:rsidR="000E2082" w:rsidRDefault="00000000" w:rsidP="00917BBB">
      <w:pPr>
        <w:spacing w:before="20" w:after="20"/>
        <w:ind w:firstLine="397"/>
        <w:outlineLvl w:val="0"/>
        <w:rPr>
          <w:i/>
        </w:rPr>
      </w:pPr>
      <w:r>
        <w:rPr>
          <w:i/>
        </w:rPr>
        <w:t>Работа выполнена при финансовой поддержке Российского научного фонда № 23-13-00089.</w:t>
      </w:r>
    </w:p>
    <w:p w14:paraId="0D000000" w14:textId="77777777" w:rsidR="000E2082" w:rsidRDefault="00000000" w:rsidP="00917BBB">
      <w:pPr>
        <w:spacing w:before="20" w:after="20"/>
        <w:ind w:firstLine="397"/>
      </w:pPr>
      <w:r>
        <w:t>Литература:</w:t>
      </w:r>
    </w:p>
    <w:p w14:paraId="0E000000" w14:textId="77777777" w:rsidR="000E2082" w:rsidRPr="00BA2F67" w:rsidRDefault="00000000" w:rsidP="00917BBB">
      <w:pPr>
        <w:pStyle w:val="References"/>
        <w:numPr>
          <w:ilvl w:val="0"/>
          <w:numId w:val="1"/>
        </w:numPr>
        <w:spacing w:before="20" w:after="20" w:line="240" w:lineRule="auto"/>
        <w:ind w:firstLine="397"/>
        <w:rPr>
          <w:rFonts w:ascii="Times New Roman" w:hAnsi="Times New Roman"/>
          <w:sz w:val="24"/>
          <w:lang w:val="en-US"/>
        </w:rPr>
      </w:pPr>
      <w:r w:rsidRPr="00BA2F67">
        <w:rPr>
          <w:rFonts w:ascii="Times New Roman" w:hAnsi="Times New Roman"/>
          <w:sz w:val="24"/>
          <w:lang w:val="en-US"/>
        </w:rPr>
        <w:t xml:space="preserve">S. Ch. Gagieva, V. A. </w:t>
      </w:r>
      <w:proofErr w:type="spellStart"/>
      <w:r w:rsidRPr="00BA2F67">
        <w:rPr>
          <w:rFonts w:ascii="Times New Roman" w:hAnsi="Times New Roman"/>
          <w:sz w:val="24"/>
          <w:lang w:val="en-US"/>
        </w:rPr>
        <w:t>Tuskaev</w:t>
      </w:r>
      <w:proofErr w:type="spellEnd"/>
      <w:r w:rsidRPr="00BA2F67">
        <w:rPr>
          <w:rFonts w:ascii="Times New Roman" w:hAnsi="Times New Roman"/>
          <w:sz w:val="24"/>
          <w:lang w:val="en-US"/>
        </w:rPr>
        <w:t xml:space="preserve">, at all. </w:t>
      </w:r>
      <w:r w:rsidRPr="00BA2F67">
        <w:rPr>
          <w:rFonts w:ascii="Times New Roman" w:hAnsi="Times New Roman"/>
          <w:i/>
          <w:sz w:val="24"/>
          <w:lang w:val="en-US"/>
        </w:rPr>
        <w:t>J. Organomet. Chem</w:t>
      </w:r>
      <w:r w:rsidRPr="00BA2F67">
        <w:rPr>
          <w:rFonts w:ascii="Times New Roman" w:hAnsi="Times New Roman"/>
          <w:sz w:val="24"/>
          <w:lang w:val="en-US"/>
        </w:rPr>
        <w:t xml:space="preserve">. 2017, </w:t>
      </w:r>
      <w:r w:rsidRPr="00BA2F67">
        <w:rPr>
          <w:rFonts w:ascii="Times New Roman" w:hAnsi="Times New Roman"/>
          <w:b/>
          <w:sz w:val="24"/>
          <w:lang w:val="en-US"/>
        </w:rPr>
        <w:t>828</w:t>
      </w:r>
      <w:r w:rsidRPr="00BA2F67">
        <w:rPr>
          <w:rFonts w:ascii="Times New Roman" w:hAnsi="Times New Roman"/>
          <w:sz w:val="24"/>
          <w:lang w:val="en-US"/>
        </w:rPr>
        <w:t>, 89-95, http://dx.doi.org/10.1016/j.jorganchem.2016.11.026</w:t>
      </w:r>
    </w:p>
    <w:p w14:paraId="0F000000" w14:textId="343FA2EF" w:rsidR="000E2082" w:rsidRPr="00BA2F67" w:rsidRDefault="00000000" w:rsidP="00917BBB">
      <w:pPr>
        <w:pStyle w:val="References"/>
        <w:numPr>
          <w:ilvl w:val="0"/>
          <w:numId w:val="1"/>
        </w:numPr>
        <w:spacing w:before="20" w:after="20" w:line="240" w:lineRule="auto"/>
        <w:ind w:firstLine="397"/>
        <w:rPr>
          <w:rFonts w:ascii="Times New Roman" w:hAnsi="Times New Roman"/>
          <w:sz w:val="24"/>
          <w:lang w:val="en-US"/>
        </w:rPr>
      </w:pPr>
      <w:r w:rsidRPr="00BA2F67">
        <w:rPr>
          <w:rFonts w:ascii="Times New Roman" w:hAnsi="Times New Roman"/>
          <w:sz w:val="24"/>
          <w:lang w:val="en-US"/>
        </w:rPr>
        <w:t xml:space="preserve">V. A. </w:t>
      </w:r>
      <w:proofErr w:type="spellStart"/>
      <w:r w:rsidRPr="00BA2F67">
        <w:rPr>
          <w:rFonts w:ascii="Times New Roman" w:hAnsi="Times New Roman"/>
          <w:sz w:val="24"/>
          <w:lang w:val="en-US"/>
        </w:rPr>
        <w:t>Tuskaev</w:t>
      </w:r>
      <w:proofErr w:type="spellEnd"/>
      <w:r w:rsidRPr="00BA2F67">
        <w:rPr>
          <w:rFonts w:ascii="Times New Roman" w:hAnsi="Times New Roman"/>
          <w:sz w:val="24"/>
          <w:lang w:val="en-US"/>
        </w:rPr>
        <w:t>, S. Ch. Gagieva,</w:t>
      </w:r>
      <w:r w:rsidRPr="00BA2F67">
        <w:rPr>
          <w:rFonts w:ascii="Times New Roman" w:hAnsi="Times New Roman"/>
          <w:sz w:val="24"/>
          <w:vertAlign w:val="superscript"/>
          <w:lang w:val="en-US"/>
        </w:rPr>
        <w:t xml:space="preserve"> </w:t>
      </w:r>
      <w:r w:rsidRPr="00BA2F67">
        <w:rPr>
          <w:rFonts w:ascii="Times New Roman" w:hAnsi="Times New Roman"/>
          <w:sz w:val="24"/>
          <w:lang w:val="en-US"/>
        </w:rPr>
        <w:t>D. A. Kurmaev</w:t>
      </w:r>
      <w:r w:rsidRPr="00BA2F67">
        <w:rPr>
          <w:rFonts w:ascii="Times New Roman" w:hAnsi="Times New Roman"/>
          <w:i/>
          <w:sz w:val="24"/>
          <w:lang w:val="en-US"/>
        </w:rPr>
        <w:t>,</w:t>
      </w:r>
      <w:r w:rsidRPr="00BA2F67">
        <w:rPr>
          <w:rFonts w:ascii="Times New Roman" w:hAnsi="Times New Roman"/>
          <w:sz w:val="24"/>
          <w:lang w:val="en-US"/>
        </w:rPr>
        <w:t xml:space="preserve"> V. N. </w:t>
      </w:r>
      <w:proofErr w:type="spellStart"/>
      <w:r w:rsidRPr="00BA2F67">
        <w:rPr>
          <w:rFonts w:ascii="Times New Roman" w:hAnsi="Times New Roman"/>
          <w:sz w:val="24"/>
          <w:lang w:val="en-US"/>
        </w:rPr>
        <w:t>Khrustalev</w:t>
      </w:r>
      <w:proofErr w:type="spellEnd"/>
      <w:r w:rsidRPr="00BA2F67">
        <w:rPr>
          <w:rFonts w:ascii="Times New Roman" w:hAnsi="Times New Roman"/>
          <w:i/>
          <w:sz w:val="24"/>
          <w:lang w:val="en-US"/>
        </w:rPr>
        <w:t>,</w:t>
      </w:r>
      <w:r w:rsidRPr="00BA2F67">
        <w:rPr>
          <w:rFonts w:ascii="Times New Roman" w:hAnsi="Times New Roman"/>
          <w:sz w:val="24"/>
          <w:lang w:val="en-US"/>
        </w:rPr>
        <w:t xml:space="preserve"> P. V. Dorovatovskii, E. S. Mikhaylik, E. K. Golubev, M. I. Buzin, G. G.</w:t>
      </w:r>
      <w:r w:rsidR="00A709CE" w:rsidRPr="00A709CE">
        <w:rPr>
          <w:rFonts w:ascii="Times New Roman" w:hAnsi="Times New Roman"/>
          <w:sz w:val="24"/>
          <w:lang w:val="en-US"/>
        </w:rPr>
        <w:t xml:space="preserve"> </w:t>
      </w:r>
      <w:r w:rsidRPr="00BA2F67">
        <w:rPr>
          <w:rFonts w:ascii="Times New Roman" w:hAnsi="Times New Roman"/>
          <w:sz w:val="24"/>
          <w:lang w:val="en-US"/>
        </w:rPr>
        <w:t xml:space="preserve">Nikiforova, V. G. B. M. Vasil’ev, B.M. Bulychev, </w:t>
      </w:r>
      <w:r w:rsidRPr="00BA2F67">
        <w:rPr>
          <w:rFonts w:ascii="Times New Roman" w:hAnsi="Times New Roman"/>
          <w:i/>
          <w:sz w:val="24"/>
          <w:lang w:val="en-US"/>
        </w:rPr>
        <w:t>J. Organomet.</w:t>
      </w:r>
      <w:r w:rsidR="00A709CE" w:rsidRPr="00A709CE">
        <w:rPr>
          <w:rFonts w:ascii="Times New Roman" w:hAnsi="Times New Roman"/>
          <w:i/>
          <w:sz w:val="24"/>
          <w:lang w:val="en-US"/>
        </w:rPr>
        <w:t xml:space="preserve"> </w:t>
      </w:r>
      <w:r w:rsidRPr="00BA2F67">
        <w:rPr>
          <w:rFonts w:ascii="Times New Roman" w:hAnsi="Times New Roman"/>
          <w:i/>
          <w:sz w:val="24"/>
          <w:lang w:val="en-US"/>
        </w:rPr>
        <w:t>Chem</w:t>
      </w:r>
      <w:r w:rsidRPr="00BA2F67">
        <w:rPr>
          <w:rFonts w:ascii="Times New Roman" w:hAnsi="Times New Roman"/>
          <w:sz w:val="24"/>
          <w:lang w:val="en-US"/>
        </w:rPr>
        <w:t xml:space="preserve">. 2018, </w:t>
      </w:r>
      <w:r w:rsidRPr="00BA2F67">
        <w:rPr>
          <w:rFonts w:ascii="Times New Roman" w:hAnsi="Times New Roman"/>
          <w:b/>
          <w:sz w:val="24"/>
          <w:highlight w:val="white"/>
          <w:lang w:val="en-US"/>
        </w:rPr>
        <w:t>877</w:t>
      </w:r>
      <w:r w:rsidRPr="00BA2F67">
        <w:rPr>
          <w:rFonts w:ascii="Times New Roman" w:hAnsi="Times New Roman"/>
          <w:sz w:val="24"/>
          <w:highlight w:val="white"/>
          <w:lang w:val="en-US"/>
        </w:rPr>
        <w:t>, 85-91.</w:t>
      </w:r>
      <w:r w:rsidRPr="00BA2F67">
        <w:rPr>
          <w:rFonts w:ascii="Times New Roman" w:hAnsi="Times New Roman"/>
          <w:sz w:val="24"/>
          <w:lang w:val="en-US"/>
        </w:rPr>
        <w:t xml:space="preserve"> </w:t>
      </w:r>
    </w:p>
    <w:sectPr w:rsidR="000E2082" w:rsidRPr="00BA2F67" w:rsidSect="00BA2F6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F6529"/>
    <w:multiLevelType w:val="multilevel"/>
    <w:tmpl w:val="3D160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24045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82"/>
    <w:rsid w:val="000A4DF5"/>
    <w:rsid w:val="000E2082"/>
    <w:rsid w:val="001B1ABD"/>
    <w:rsid w:val="002E552E"/>
    <w:rsid w:val="00474AAB"/>
    <w:rsid w:val="006F18ED"/>
    <w:rsid w:val="00917BBB"/>
    <w:rsid w:val="00A709CE"/>
    <w:rsid w:val="00BA2F67"/>
    <w:rsid w:val="00BB100E"/>
    <w:rsid w:val="00CE4467"/>
    <w:rsid w:val="00D0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5733"/>
  <w15:docId w15:val="{4BA500A1-5097-4F3F-9178-0BC5CC85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61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customStyle="1" w:styleId="13">
    <w:name w:val="Замещающий текст1"/>
    <w:basedOn w:val="12"/>
    <w:link w:val="a3"/>
    <w:rPr>
      <w:color w:val="808080"/>
    </w:rPr>
  </w:style>
  <w:style w:type="character" w:styleId="a3">
    <w:name w:val="Placeholder Text"/>
    <w:basedOn w:val="a0"/>
    <w:link w:val="13"/>
    <w:rPr>
      <w:color w:val="808080"/>
    </w:rPr>
  </w:style>
  <w:style w:type="paragraph" w:customStyle="1" w:styleId="References">
    <w:name w:val="References"/>
    <w:basedOn w:val="a"/>
    <w:link w:val="References0"/>
    <w:pPr>
      <w:spacing w:line="200" w:lineRule="exact"/>
      <w:ind w:left="425" w:hanging="425"/>
    </w:pPr>
    <w:rPr>
      <w:rFonts w:ascii="Arial" w:hAnsi="Arial"/>
      <w:sz w:val="16"/>
    </w:rPr>
  </w:style>
  <w:style w:type="character" w:customStyle="1" w:styleId="References0">
    <w:name w:val="References"/>
    <w:basedOn w:val="1"/>
    <w:link w:val="References"/>
    <w:rPr>
      <w:rFonts w:ascii="Arial" w:hAnsi="Arial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No Spacing"/>
    <w:link w:val="a5"/>
    <w:rPr>
      <w:sz w:val="22"/>
    </w:rPr>
  </w:style>
  <w:style w:type="character" w:customStyle="1" w:styleId="a5">
    <w:name w:val="Без интервала Знак"/>
    <w:link w:val="a4"/>
    <w:rPr>
      <w:sz w:val="22"/>
    </w:rPr>
  </w:style>
  <w:style w:type="paragraph" w:customStyle="1" w:styleId="14">
    <w:name w:val="Неразрешенное упоминание1"/>
    <w:basedOn w:val="12"/>
    <w:link w:val="a6"/>
    <w:rPr>
      <w:color w:val="605E5C"/>
      <w:shd w:val="clear" w:color="auto" w:fill="E1DFDD"/>
    </w:rPr>
  </w:style>
  <w:style w:type="character" w:styleId="a6">
    <w:name w:val="Unresolved Mention"/>
    <w:basedOn w:val="a0"/>
    <w:link w:val="14"/>
    <w:rPr>
      <w:color w:val="605E5C"/>
      <w:shd w:val="clear" w:color="auto" w:fill="E1DFDD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5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5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4"/>
    </w:rPr>
  </w:style>
  <w:style w:type="paragraph" w:styleId="aa">
    <w:name w:val="Subtitle"/>
    <w:basedOn w:val="a"/>
    <w:next w:val="a"/>
    <w:link w:val="ab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b">
    <w:name w:val="Подзаголовок Знак"/>
    <w:basedOn w:val="1"/>
    <w:link w:val="aa"/>
    <w:rPr>
      <w:rFonts w:ascii="Georgia" w:hAnsi="Georgia"/>
      <w:i/>
      <w:color w:val="666666"/>
      <w:sz w:val="48"/>
    </w:rPr>
  </w:style>
  <w:style w:type="paragraph" w:customStyle="1" w:styleId="ac">
    <w:link w:val="ad"/>
    <w:semiHidden/>
    <w:unhideWhenUsed/>
    <w:rPr>
      <w:rFonts w:ascii="Times New Roman" w:hAnsi="Times New Roman"/>
      <w:sz w:val="24"/>
    </w:rPr>
  </w:style>
  <w:style w:type="character" w:customStyle="1" w:styleId="ad">
    <w:link w:val="ac"/>
    <w:semiHidden/>
    <w:unhideWhenUsed/>
    <w:rPr>
      <w:rFonts w:ascii="Times New Roman" w:hAnsi="Times New Roman"/>
      <w:sz w:val="24"/>
    </w:rPr>
  </w:style>
  <w:style w:type="paragraph" w:styleId="ae">
    <w:name w:val="Title"/>
    <w:basedOn w:val="a"/>
    <w:next w:val="a"/>
    <w:link w:val="af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f">
    <w:name w:val="Заголовок Знак"/>
    <w:basedOn w:val="1"/>
    <w:link w:val="ae"/>
    <w:rPr>
      <w:rFonts w:ascii="Times New Roman" w:hAnsi="Times New Roman"/>
      <w:b/>
      <w:sz w:val="7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rmal (Web)"/>
    <w:basedOn w:val="a"/>
    <w:uiPriority w:val="99"/>
    <w:semiHidden/>
    <w:unhideWhenUsed/>
    <w:rsid w:val="006F18E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FD3EF-9B38-414B-BE12-6FE43E5C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Врунов Тим</dc:creator>
  <cp:lastModifiedBy>Врунов Тим</cp:lastModifiedBy>
  <cp:revision>4</cp:revision>
  <dcterms:created xsi:type="dcterms:W3CDTF">2026-03-09T13:09:00Z</dcterms:created>
  <dcterms:modified xsi:type="dcterms:W3CDTF">2026-03-09T13:10:00Z</dcterms:modified>
</cp:coreProperties>
</file>