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9274" w14:textId="77777777" w:rsidR="007E2E13" w:rsidRDefault="007E2E13" w:rsidP="007E2E13">
      <w:pPr>
        <w:ind w:firstLine="482"/>
        <w:jc w:val="center"/>
        <w:rPr>
          <w:rFonts w:eastAsia="Times New Roman"/>
          <w:b/>
          <w:sz w:val="24"/>
          <w:lang w:val="en-US"/>
        </w:rPr>
      </w:pPr>
    </w:p>
    <w:p w14:paraId="46FA30B3" w14:textId="77777777" w:rsidR="007E2E13" w:rsidRDefault="007E2E13" w:rsidP="007E2E13">
      <w:pPr>
        <w:ind w:firstLine="482"/>
        <w:jc w:val="center"/>
        <w:rPr>
          <w:rFonts w:eastAsia="Times New Roman"/>
          <w:b/>
          <w:sz w:val="24"/>
          <w:lang w:val="en-US"/>
        </w:rPr>
      </w:pPr>
      <w:r w:rsidRPr="007E551B">
        <w:rPr>
          <w:rFonts w:eastAsia="Times New Roman"/>
          <w:b/>
          <w:sz w:val="24"/>
          <w:lang w:val="en-US"/>
        </w:rPr>
        <w:t>Novel 5-arylidenthiazolidine-2,4-diones as potential inhibitors of Mcl-1 and ROS.</w:t>
      </w:r>
    </w:p>
    <w:p w14:paraId="072B2496" w14:textId="77777777" w:rsidR="007E2E13" w:rsidRDefault="007E2E13" w:rsidP="007E2E13">
      <w:pPr>
        <w:ind w:firstLine="480"/>
        <w:jc w:val="center"/>
        <w:rPr>
          <w:rFonts w:eastAsia="等线"/>
          <w:b/>
          <w:noProof w:val="0"/>
          <w:sz w:val="24"/>
          <w:szCs w:val="24"/>
          <w:u w:val="single"/>
          <w:lang w:val="en-US"/>
        </w:rPr>
      </w:pPr>
    </w:p>
    <w:p w14:paraId="1D275501" w14:textId="77777777" w:rsidR="007E2E13" w:rsidRPr="006C3D5A" w:rsidRDefault="007E2E13" w:rsidP="007E2E13">
      <w:pPr>
        <w:ind w:firstLine="480"/>
        <w:jc w:val="center"/>
        <w:rPr>
          <w:rFonts w:eastAsia="等线"/>
          <w:b/>
          <w:bCs/>
          <w:noProof w:val="0"/>
          <w:sz w:val="24"/>
          <w:szCs w:val="24"/>
          <w:lang w:val="en-US"/>
        </w:rPr>
      </w:pPr>
      <w:r w:rsidRPr="007E2E13">
        <w:rPr>
          <w:rFonts w:eastAsia="等线"/>
          <w:b/>
          <w:noProof w:val="0"/>
          <w:sz w:val="24"/>
          <w:szCs w:val="24"/>
          <w:lang w:val="en-US"/>
        </w:rPr>
        <w:t>Bai X</w:t>
      </w:r>
      <w:r w:rsidRPr="007E2E13">
        <w:rPr>
          <w:rFonts w:eastAsia="等线"/>
          <w:b/>
          <w:noProof w:val="0"/>
          <w:sz w:val="24"/>
          <w:szCs w:val="24"/>
          <w:lang w:val="en-US" w:eastAsia="zh-CN"/>
        </w:rPr>
        <w:t>iumei</w:t>
      </w:r>
      <w:r w:rsidRPr="006C3D5A">
        <w:rPr>
          <w:rFonts w:eastAsia="等线"/>
          <w:b/>
          <w:noProof w:val="0"/>
          <w:sz w:val="24"/>
          <w:szCs w:val="24"/>
          <w:lang w:val="en-US"/>
        </w:rPr>
        <w:t xml:space="preserve">, </w:t>
      </w:r>
      <w:proofErr w:type="spellStart"/>
      <w:r w:rsidRPr="006C3D5A">
        <w:rPr>
          <w:rFonts w:eastAsia="等线"/>
          <w:b/>
          <w:noProof w:val="0"/>
          <w:sz w:val="24"/>
          <w:szCs w:val="24"/>
          <w:lang w:val="en-US"/>
        </w:rPr>
        <w:t>Beloglazkina</w:t>
      </w:r>
      <w:proofErr w:type="spellEnd"/>
      <w:r w:rsidRPr="006C3D5A">
        <w:rPr>
          <w:rFonts w:eastAsia="等线"/>
          <w:b/>
          <w:noProof w:val="0"/>
          <w:sz w:val="24"/>
          <w:szCs w:val="24"/>
          <w:lang w:val="en-US"/>
        </w:rPr>
        <w:t xml:space="preserve"> E.K., </w:t>
      </w:r>
      <w:proofErr w:type="spellStart"/>
      <w:r w:rsidRPr="006C3D5A">
        <w:rPr>
          <w:rFonts w:eastAsia="等线"/>
          <w:b/>
          <w:noProof w:val="0"/>
          <w:sz w:val="24"/>
          <w:szCs w:val="24"/>
          <w:lang w:val="en-US"/>
        </w:rPr>
        <w:t>Finko</w:t>
      </w:r>
      <w:proofErr w:type="spellEnd"/>
      <w:r w:rsidRPr="006C3D5A">
        <w:rPr>
          <w:rFonts w:eastAsia="等线"/>
          <w:b/>
          <w:noProof w:val="0"/>
          <w:sz w:val="24"/>
          <w:szCs w:val="24"/>
          <w:lang w:val="en-US"/>
        </w:rPr>
        <w:t xml:space="preserve"> A.V.</w:t>
      </w:r>
    </w:p>
    <w:p w14:paraId="08F4B7EC" w14:textId="77777777" w:rsidR="007E2E13" w:rsidRPr="006C3D5A" w:rsidRDefault="007E2E13" w:rsidP="007E2E13">
      <w:pPr>
        <w:spacing w:line="360" w:lineRule="auto"/>
        <w:ind w:firstLine="480"/>
        <w:jc w:val="center"/>
        <w:rPr>
          <w:rFonts w:eastAsia="Times New Roman"/>
          <w:i/>
          <w:sz w:val="24"/>
          <w:lang w:val="en-US"/>
        </w:rPr>
      </w:pPr>
      <w:r w:rsidRPr="006C3D5A">
        <w:rPr>
          <w:rFonts w:eastAsia="Times New Roman"/>
          <w:i/>
          <w:sz w:val="24"/>
          <w:lang w:val="en-US"/>
        </w:rPr>
        <w:t>Lomonosov Moscow State University, Moscow, Russia.</w:t>
      </w:r>
    </w:p>
    <w:p w14:paraId="2F4080D3" w14:textId="77777777" w:rsidR="007E2E13" w:rsidRPr="00E778B9" w:rsidRDefault="007E2E13" w:rsidP="007E2E13">
      <w:pPr>
        <w:spacing w:line="360" w:lineRule="auto"/>
        <w:ind w:firstLine="480"/>
        <w:jc w:val="center"/>
        <w:rPr>
          <w:rFonts w:eastAsia="Times New Roman"/>
          <w:i/>
          <w:sz w:val="24"/>
          <w:lang w:val="en-US" w:eastAsia="zh-CN"/>
        </w:rPr>
      </w:pPr>
      <w:r w:rsidRPr="00E778B9">
        <w:rPr>
          <w:rFonts w:eastAsia="Times New Roman"/>
          <w:i/>
          <w:sz w:val="24"/>
          <w:lang w:val="en-US" w:eastAsia="zh-CN"/>
        </w:rPr>
        <w:t>E-mail: baixiumei6871@gmail.com</w:t>
      </w:r>
    </w:p>
    <w:p w14:paraId="589AD8F2" w14:textId="77777777" w:rsidR="007E2E13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</w:p>
    <w:p w14:paraId="4781A1E4" w14:textId="77777777" w:rsidR="007E2E13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  <w:r w:rsidRPr="00E04356">
        <w:rPr>
          <w:sz w:val="24"/>
          <w:lang w:val="en-US" w:eastAsia="zh-CN"/>
        </w:rPr>
        <w:t>Resistance to conventional chemotherapy frequently arises from the overexpression of the anti-apoptotic protein Mcl-</w:t>
      </w:r>
      <w:r>
        <w:rPr>
          <w:sz w:val="24"/>
          <w:lang w:val="en-US" w:eastAsia="zh-CN"/>
        </w:rPr>
        <w:t>1[1]</w:t>
      </w:r>
      <w:r w:rsidRPr="00E04356">
        <w:rPr>
          <w:sz w:val="24"/>
          <w:lang w:val="en-US" w:eastAsia="zh-CN"/>
        </w:rPr>
        <w:t>. To breach this therapeutic barrier, we employed a "hybrid drug design" strategy</w:t>
      </w:r>
      <w:r>
        <w:rPr>
          <w:sz w:val="24"/>
          <w:lang w:val="en-US" w:eastAsia="zh-CN"/>
        </w:rPr>
        <w:t xml:space="preserve"> [2]</w:t>
      </w:r>
      <w:r w:rsidRPr="00E04356">
        <w:rPr>
          <w:sz w:val="24"/>
          <w:lang w:val="en-US" w:eastAsia="zh-CN"/>
        </w:rPr>
        <w:t>, developing the highly modifiable</w:t>
      </w:r>
      <w:r w:rsidRPr="00A46C84">
        <w:rPr>
          <w:lang w:val="en-US"/>
        </w:rPr>
        <w:t xml:space="preserve"> </w:t>
      </w:r>
      <w:r w:rsidRPr="00A46C84">
        <w:rPr>
          <w:sz w:val="24"/>
          <w:lang w:val="en-US" w:eastAsia="zh-CN"/>
        </w:rPr>
        <w:t>thiazolidine</w:t>
      </w:r>
      <w:r>
        <w:rPr>
          <w:sz w:val="24"/>
          <w:lang w:val="en-US" w:eastAsia="zh-CN"/>
        </w:rPr>
        <w:t>-</w:t>
      </w:r>
      <w:r w:rsidRPr="00A46C84">
        <w:rPr>
          <w:sz w:val="24"/>
          <w:lang w:val="en-US" w:eastAsia="zh-CN"/>
        </w:rPr>
        <w:t>2</w:t>
      </w:r>
      <w:r>
        <w:rPr>
          <w:sz w:val="24"/>
          <w:lang w:val="en-US" w:eastAsia="zh-CN"/>
        </w:rPr>
        <w:t>,</w:t>
      </w:r>
      <w:r w:rsidRPr="00A46C84">
        <w:rPr>
          <w:sz w:val="24"/>
          <w:lang w:val="en-US" w:eastAsia="zh-CN"/>
        </w:rPr>
        <w:t>4-dione</w:t>
      </w:r>
      <w:r w:rsidRPr="00E04356">
        <w:rPr>
          <w:sz w:val="24"/>
          <w:lang w:val="en-US" w:eastAsia="zh-CN"/>
        </w:rPr>
        <w:t xml:space="preserve"> scaffold into a novel class of inhibitor.</w:t>
      </w:r>
    </w:p>
    <w:p w14:paraId="532C89D5" w14:textId="77777777" w:rsidR="007E2E13" w:rsidRDefault="007E2E13" w:rsidP="007E2E13">
      <w:pPr>
        <w:ind w:firstLine="480"/>
        <w:jc w:val="center"/>
        <w:rPr>
          <w:rFonts w:eastAsia="Times New Roman"/>
          <w:sz w:val="24"/>
          <w:lang w:eastAsia="zh-CN"/>
        </w:rPr>
      </w:pPr>
      <w:r>
        <w:rPr>
          <w:rFonts w:eastAsia="Times New Roman"/>
          <w:lang w:eastAsia="zh-CN"/>
        </w:rPr>
        <w:object w:dxaOrig="9657" w:dyaOrig="3521" w14:anchorId="6A938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5pt;height:156.5pt" o:ole="">
            <v:imagedata r:id="rId4" o:title=""/>
          </v:shape>
          <o:OLEObject Type="Embed" ProgID="ChemDraw.Document.6.0" ShapeID="_x0000_i1025" DrawAspect="Content" ObjectID="_1834228221" r:id="rId5"/>
        </w:object>
      </w:r>
    </w:p>
    <w:p w14:paraId="6EB0A0B2" w14:textId="77777777" w:rsidR="007E2E13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</w:p>
    <w:p w14:paraId="0911B139" w14:textId="77777777" w:rsidR="007E2E13" w:rsidRPr="0052069F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  <w:r w:rsidRPr="00E04356">
        <w:rPr>
          <w:sz w:val="24"/>
          <w:lang w:val="en-US" w:eastAsia="zh-CN"/>
        </w:rPr>
        <w:t xml:space="preserve">By integrating </w:t>
      </w:r>
      <w:r>
        <w:rPr>
          <w:sz w:val="24"/>
          <w:lang w:val="en-US" w:eastAsia="zh-CN"/>
        </w:rPr>
        <w:t>CADD</w:t>
      </w:r>
      <w:r w:rsidRPr="00E04356">
        <w:rPr>
          <w:sz w:val="24"/>
          <w:lang w:val="en-US" w:eastAsia="zh-CN"/>
        </w:rPr>
        <w:t>, 2</w:t>
      </w:r>
      <w:r>
        <w:rPr>
          <w:sz w:val="24"/>
          <w:lang w:val="en-US" w:eastAsia="zh-CN"/>
        </w:rPr>
        <w:t>5</w:t>
      </w:r>
      <w:r w:rsidRPr="00E04356">
        <w:rPr>
          <w:sz w:val="24"/>
          <w:lang w:val="en-US" w:eastAsia="zh-CN"/>
        </w:rPr>
        <w:t xml:space="preserve"> novel derivatives were designed and synthesized with high stereoselectivity. The characteristic configuration was unequivocally confirmed via X-ray and 2D-NMR. Biological evaluations identified </w:t>
      </w:r>
      <w:r w:rsidRPr="00E04356">
        <w:rPr>
          <w:b/>
          <w:bCs/>
          <w:sz w:val="24"/>
          <w:lang w:val="en-US" w:eastAsia="zh-CN"/>
        </w:rPr>
        <w:t>5a</w:t>
      </w:r>
      <w:r w:rsidRPr="00E04356">
        <w:rPr>
          <w:sz w:val="24"/>
          <w:lang w:val="en-US" w:eastAsia="zh-CN"/>
        </w:rPr>
        <w:t xml:space="preserve"> and </w:t>
      </w:r>
      <w:r w:rsidRPr="00E04356">
        <w:rPr>
          <w:b/>
          <w:bCs/>
          <w:sz w:val="24"/>
          <w:lang w:val="en-US" w:eastAsia="zh-CN"/>
        </w:rPr>
        <w:t>5e</w:t>
      </w:r>
      <w:r w:rsidRPr="00E04356">
        <w:rPr>
          <w:sz w:val="24"/>
          <w:lang w:val="en-US" w:eastAsia="zh-CN"/>
        </w:rPr>
        <w:t xml:space="preserve"> as potent Mcl-1 inhibitors.</w:t>
      </w:r>
      <w:r>
        <w:rPr>
          <w:sz w:val="24"/>
          <w:lang w:val="en-US" w:eastAsia="zh-CN"/>
        </w:rPr>
        <w:t xml:space="preserve"> </w:t>
      </w:r>
      <w:r w:rsidRPr="001314C3">
        <w:rPr>
          <w:sz w:val="24"/>
          <w:lang w:val="en-US" w:eastAsia="zh-CN"/>
        </w:rPr>
        <w:t>Mechanistic WB analysis confirmed that the compounds trigger the intrinsic mitochondrial pathway via a Caspase-9/3/PARP1 signaling cascade</w:t>
      </w:r>
      <w:r w:rsidRPr="00E04356">
        <w:rPr>
          <w:sz w:val="24"/>
          <w:lang w:val="en-US" w:eastAsia="zh-CN"/>
        </w:rPr>
        <w:t>.</w:t>
      </w:r>
      <w:r>
        <w:rPr>
          <w:sz w:val="24"/>
          <w:lang w:val="en-US" w:eastAsia="zh-CN"/>
        </w:rPr>
        <w:t xml:space="preserve"> </w:t>
      </w:r>
      <w:r w:rsidRPr="00E04356">
        <w:rPr>
          <w:sz w:val="24"/>
          <w:lang w:val="en-US" w:eastAsia="zh-CN"/>
        </w:rPr>
        <w:t xml:space="preserve">Furthermore, broad-spectrum screening identified </w:t>
      </w:r>
      <w:r w:rsidRPr="00A55AE0">
        <w:rPr>
          <w:b/>
          <w:bCs/>
          <w:sz w:val="24"/>
          <w:lang w:val="en-US" w:eastAsia="zh-CN"/>
        </w:rPr>
        <w:t>4j</w:t>
      </w:r>
      <w:r w:rsidRPr="00E04356">
        <w:rPr>
          <w:sz w:val="24"/>
          <w:lang w:val="en-US" w:eastAsia="zh-CN"/>
        </w:rPr>
        <w:t xml:space="preserve"> </w:t>
      </w:r>
      <w:r w:rsidRPr="005A7286">
        <w:rPr>
          <w:sz w:val="24"/>
          <w:lang w:val="en-US" w:eastAsia="zh-CN"/>
        </w:rPr>
        <w:t xml:space="preserve"> exhibits selective cytotoxicity</w:t>
      </w:r>
      <w:r w:rsidRPr="00E04356">
        <w:rPr>
          <w:sz w:val="24"/>
          <w:lang w:val="en-US" w:eastAsia="zh-CN"/>
        </w:rPr>
        <w:t xml:space="preserve">. DFT simulations level elucidated that the frontier molecular orbital distribution of the catechol-bearing derivative </w:t>
      </w:r>
      <w:r w:rsidRPr="00A55AE0">
        <w:rPr>
          <w:b/>
          <w:bCs/>
          <w:sz w:val="24"/>
          <w:lang w:val="en-US" w:eastAsia="zh-CN"/>
        </w:rPr>
        <w:t>5b</w:t>
      </w:r>
      <w:r w:rsidRPr="00E04356">
        <w:rPr>
          <w:sz w:val="24"/>
          <w:lang w:val="en-US" w:eastAsia="zh-CN"/>
        </w:rPr>
        <w:t xml:space="preserve"> (IC</w:t>
      </w:r>
      <w:r w:rsidRPr="00A55AE0">
        <w:rPr>
          <w:sz w:val="24"/>
          <w:vertAlign w:val="subscript"/>
          <w:lang w:val="en-US" w:eastAsia="zh-CN"/>
        </w:rPr>
        <w:t>50</w:t>
      </w:r>
      <w:r w:rsidRPr="00E04356">
        <w:rPr>
          <w:sz w:val="24"/>
          <w:lang w:val="en-US" w:eastAsia="zh-CN"/>
        </w:rPr>
        <w:t xml:space="preserve"> = 0.09 </w:t>
      </w:r>
      <w:r w:rsidRPr="00AC457A">
        <w:rPr>
          <w:sz w:val="24"/>
          <w:szCs w:val="24"/>
        </w:rPr>
        <w:t>μ</w:t>
      </w:r>
      <w:r w:rsidRPr="00AC457A">
        <w:rPr>
          <w:sz w:val="24"/>
          <w:szCs w:val="24"/>
          <w:lang w:val="en-US"/>
        </w:rPr>
        <w:t>M</w:t>
      </w:r>
      <w:r w:rsidRPr="00E04356">
        <w:rPr>
          <w:sz w:val="24"/>
          <w:lang w:val="en-US" w:eastAsia="zh-CN"/>
        </w:rPr>
        <w:t>) correlates directly with its superior ROS-modulating capacity</w:t>
      </w:r>
      <w:r>
        <w:rPr>
          <w:sz w:val="24"/>
          <w:lang w:val="en-US" w:eastAsia="zh-CN"/>
        </w:rPr>
        <w:t xml:space="preserve"> [3]</w:t>
      </w:r>
      <w:r w:rsidRPr="00E04356">
        <w:rPr>
          <w:sz w:val="24"/>
          <w:lang w:val="en-US" w:eastAsia="zh-CN"/>
        </w:rPr>
        <w:t xml:space="preserve">. Collectively, </w:t>
      </w:r>
      <w:r>
        <w:rPr>
          <w:sz w:val="24"/>
          <w:lang w:val="en-US" w:eastAsia="zh-CN"/>
        </w:rPr>
        <w:t>t</w:t>
      </w:r>
      <w:r w:rsidRPr="00AC457A">
        <w:rPr>
          <w:sz w:val="24"/>
          <w:lang w:val="en-US" w:eastAsia="zh-CN"/>
        </w:rPr>
        <w:t>his study validates the significant potential of this scaffold as a promising lead for targeted oncotherapy.</w:t>
      </w:r>
    </w:p>
    <w:p w14:paraId="06C88232" w14:textId="77777777" w:rsidR="007E2E13" w:rsidRDefault="007E2E13" w:rsidP="007E2E13">
      <w:pPr>
        <w:spacing w:line="360" w:lineRule="auto"/>
        <w:ind w:firstLine="480"/>
        <w:jc w:val="both"/>
        <w:rPr>
          <w:sz w:val="24"/>
          <w:lang w:val="en-US"/>
        </w:rPr>
      </w:pPr>
      <w:r w:rsidRPr="00232A4D">
        <w:rPr>
          <w:rFonts w:eastAsia="Times New Roman"/>
          <w:noProof w:val="0"/>
          <w:sz w:val="24"/>
          <w:lang w:val="en-US"/>
        </w:rPr>
        <w:t>[1]</w:t>
      </w:r>
      <w:r w:rsidRPr="00232A4D">
        <w:rPr>
          <w:sz w:val="24"/>
          <w:lang w:val="en-US"/>
        </w:rPr>
        <w:t xml:space="preserve"> </w:t>
      </w:r>
      <w:r w:rsidRPr="00B3050D">
        <w:rPr>
          <w:sz w:val="24"/>
          <w:lang w:val="en-US"/>
        </w:rPr>
        <w:t xml:space="preserve">Fleischer, B., Schulze-Bergkamen, H., Schuchmann, M., Weber, A., Biesterfeld, S., Müller, M., </w:t>
      </w:r>
      <w:r w:rsidRPr="00C75434">
        <w:rPr>
          <w:sz w:val="24"/>
          <w:lang w:val="en-US"/>
        </w:rPr>
        <w:t>Peter</w:t>
      </w:r>
      <w:r>
        <w:rPr>
          <w:sz w:val="24"/>
          <w:lang w:val="en-US" w:eastAsia="zh-CN"/>
        </w:rPr>
        <w:t>,</w:t>
      </w:r>
      <w:r w:rsidRPr="00C75434">
        <w:rPr>
          <w:sz w:val="24"/>
          <w:lang w:val="en-US"/>
        </w:rPr>
        <w:t xml:space="preserve"> H</w:t>
      </w:r>
      <w:r>
        <w:rPr>
          <w:sz w:val="24"/>
          <w:lang w:val="en-US" w:eastAsia="zh-CN"/>
        </w:rPr>
        <w:t>.,</w:t>
      </w:r>
      <w:r w:rsidRPr="00C75434">
        <w:rPr>
          <w:sz w:val="24"/>
          <w:lang w:val="en-US"/>
        </w:rPr>
        <w:t xml:space="preserve"> </w:t>
      </w:r>
      <w:r w:rsidRPr="00B3050D">
        <w:rPr>
          <w:sz w:val="24"/>
          <w:lang w:val="en-US"/>
        </w:rPr>
        <w:t>Galle, P. R. Mcl-1 is an anti-apoptotic factor for human hepatocellular carcinoma.</w:t>
      </w:r>
      <w:r>
        <w:rPr>
          <w:sz w:val="24"/>
          <w:lang w:val="en-US" w:eastAsia="zh-CN"/>
        </w:rPr>
        <w:t xml:space="preserve"> </w:t>
      </w:r>
      <w:r w:rsidRPr="00B3050D">
        <w:rPr>
          <w:i/>
          <w:iCs/>
          <w:sz w:val="24"/>
          <w:lang w:val="en-US"/>
        </w:rPr>
        <w:t>International journal of oncology</w:t>
      </w:r>
      <w:r w:rsidRPr="00B3050D">
        <w:rPr>
          <w:sz w:val="24"/>
          <w:lang w:val="en-US"/>
        </w:rPr>
        <w:t>,</w:t>
      </w:r>
      <w:r>
        <w:rPr>
          <w:sz w:val="24"/>
          <w:lang w:val="en-US" w:eastAsia="zh-CN"/>
        </w:rPr>
        <w:t xml:space="preserve"> 2006, </w:t>
      </w:r>
      <w:r w:rsidRPr="00B3050D">
        <w:rPr>
          <w:sz w:val="24"/>
          <w:lang w:val="en-US"/>
        </w:rPr>
        <w:t xml:space="preserve">28(1), 25-32. </w:t>
      </w:r>
      <w:r>
        <w:rPr>
          <w:sz w:val="24"/>
          <w:lang w:val="en-US" w:eastAsia="zh-CN"/>
        </w:rPr>
        <w:t xml:space="preserve">DOI: </w:t>
      </w:r>
      <w:r w:rsidRPr="008514EF">
        <w:rPr>
          <w:sz w:val="24"/>
          <w:lang w:val="en-US"/>
        </w:rPr>
        <w:t>10.3892/ijo.28.1.25</w:t>
      </w:r>
    </w:p>
    <w:p w14:paraId="55376B44" w14:textId="77777777" w:rsidR="007E2E13" w:rsidRPr="00B3050D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  <w:r w:rsidRPr="00B3050D">
        <w:rPr>
          <w:rFonts w:eastAsia="Times New Roman"/>
          <w:noProof w:val="0"/>
          <w:sz w:val="24"/>
          <w:lang w:val="en-US"/>
        </w:rPr>
        <w:t>[</w:t>
      </w:r>
      <w:r>
        <w:rPr>
          <w:noProof w:val="0"/>
          <w:sz w:val="24"/>
          <w:lang w:val="en-US" w:eastAsia="zh-CN"/>
        </w:rPr>
        <w:t>2</w:t>
      </w:r>
      <w:r w:rsidRPr="00B3050D">
        <w:rPr>
          <w:rFonts w:eastAsia="Times New Roman"/>
          <w:noProof w:val="0"/>
          <w:sz w:val="24"/>
          <w:lang w:val="en-US"/>
        </w:rPr>
        <w:t>]</w:t>
      </w:r>
      <w:r w:rsidRPr="00B3050D">
        <w:rPr>
          <w:sz w:val="24"/>
          <w:lang w:val="en-US"/>
        </w:rPr>
        <w:t xml:space="preserve"> </w:t>
      </w:r>
      <w:r w:rsidRPr="008514EF">
        <w:rPr>
          <w:sz w:val="24"/>
          <w:lang w:val="en-US"/>
        </w:rPr>
        <w:t>Singh, P., Kumar, V. Special issue “hybrid drugs: design and applications”.</w:t>
      </w:r>
      <w:r>
        <w:rPr>
          <w:sz w:val="24"/>
          <w:lang w:val="en-US" w:eastAsia="zh-CN"/>
        </w:rPr>
        <w:t xml:space="preserve"> </w:t>
      </w:r>
      <w:r w:rsidRPr="008514EF">
        <w:rPr>
          <w:i/>
          <w:iCs/>
          <w:sz w:val="24"/>
          <w:lang w:val="en-US"/>
        </w:rPr>
        <w:t>Pharmaceuticals</w:t>
      </w:r>
      <w:r w:rsidRPr="008514EF">
        <w:rPr>
          <w:sz w:val="24"/>
          <w:lang w:val="en-US"/>
        </w:rPr>
        <w:t>,</w:t>
      </w:r>
      <w:r>
        <w:rPr>
          <w:sz w:val="24"/>
          <w:lang w:val="en-US" w:eastAsia="zh-CN"/>
        </w:rPr>
        <w:t xml:space="preserve"> </w:t>
      </w:r>
      <w:r w:rsidRPr="008514EF">
        <w:rPr>
          <w:sz w:val="24"/>
          <w:lang w:val="en-US" w:eastAsia="zh-CN"/>
        </w:rPr>
        <w:t xml:space="preserve">2023, </w:t>
      </w:r>
      <w:r w:rsidRPr="008514EF">
        <w:rPr>
          <w:sz w:val="24"/>
          <w:lang w:val="en-US"/>
        </w:rPr>
        <w:t>16(10), 1358.</w:t>
      </w:r>
      <w:r>
        <w:rPr>
          <w:sz w:val="24"/>
          <w:lang w:val="en-US" w:eastAsia="zh-CN"/>
        </w:rPr>
        <w:t xml:space="preserve"> DOI: </w:t>
      </w:r>
      <w:r w:rsidRPr="00950620">
        <w:rPr>
          <w:sz w:val="24"/>
          <w:lang w:val="en-US" w:eastAsia="zh-CN"/>
        </w:rPr>
        <w:t>10.3390/ph16101358</w:t>
      </w:r>
    </w:p>
    <w:p w14:paraId="4A1AE4E5" w14:textId="77777777" w:rsidR="007E2E13" w:rsidRPr="00950620" w:rsidRDefault="007E2E13" w:rsidP="007E2E13">
      <w:pPr>
        <w:spacing w:line="360" w:lineRule="auto"/>
        <w:ind w:firstLine="480"/>
        <w:jc w:val="both"/>
        <w:rPr>
          <w:sz w:val="24"/>
          <w:lang w:val="en-US" w:eastAsia="zh-CN"/>
        </w:rPr>
      </w:pPr>
      <w:r w:rsidRPr="00950620">
        <w:rPr>
          <w:rFonts w:eastAsia="Times New Roman"/>
          <w:noProof w:val="0"/>
          <w:sz w:val="24"/>
          <w:lang w:val="en-US"/>
        </w:rPr>
        <w:t>[1]</w:t>
      </w:r>
      <w:r w:rsidRPr="00950620">
        <w:rPr>
          <w:sz w:val="24"/>
          <w:lang w:val="en-US"/>
        </w:rPr>
        <w:t xml:space="preserve"> </w:t>
      </w:r>
      <w:r w:rsidRPr="00602CD8">
        <w:rPr>
          <w:sz w:val="24"/>
          <w:lang w:val="en-US"/>
        </w:rPr>
        <w:t>Bernatoniene, J., Kopustinskiene, D. M. The role of catechins in cellular responses to oxidative stress.</w:t>
      </w:r>
      <w:r>
        <w:rPr>
          <w:sz w:val="24"/>
          <w:lang w:val="en-US" w:eastAsia="zh-CN"/>
        </w:rPr>
        <w:t xml:space="preserve"> </w:t>
      </w:r>
      <w:r w:rsidRPr="00602CD8">
        <w:rPr>
          <w:i/>
          <w:iCs/>
          <w:sz w:val="24"/>
          <w:lang w:val="en-US"/>
        </w:rPr>
        <w:t>Molecules</w:t>
      </w:r>
      <w:r w:rsidRPr="00602CD8">
        <w:rPr>
          <w:sz w:val="24"/>
          <w:lang w:val="en-US"/>
        </w:rPr>
        <w:t>,</w:t>
      </w:r>
      <w:r>
        <w:rPr>
          <w:sz w:val="24"/>
          <w:lang w:val="en-US" w:eastAsia="zh-CN"/>
        </w:rPr>
        <w:t xml:space="preserve"> 2018, </w:t>
      </w:r>
      <w:r w:rsidRPr="00602CD8">
        <w:rPr>
          <w:sz w:val="24"/>
          <w:lang w:val="en-US"/>
        </w:rPr>
        <w:t>23(4), 965.</w:t>
      </w:r>
      <w:r>
        <w:rPr>
          <w:sz w:val="24"/>
          <w:lang w:val="en-US" w:eastAsia="zh-CN"/>
        </w:rPr>
        <w:t xml:space="preserve"> DOI: 1</w:t>
      </w:r>
      <w:r w:rsidRPr="00C571EA">
        <w:rPr>
          <w:sz w:val="24"/>
          <w:lang w:val="en-US" w:eastAsia="zh-CN"/>
        </w:rPr>
        <w:t>0.3390/molecules23040965</w:t>
      </w:r>
    </w:p>
    <w:p w14:paraId="5787C799" w14:textId="77777777" w:rsidR="00C053D9" w:rsidRDefault="00C053D9">
      <w:pPr>
        <w:ind w:firstLine="480"/>
      </w:pPr>
    </w:p>
    <w:sectPr w:rsidR="00C053D9" w:rsidSect="007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3D"/>
    <w:rsid w:val="0000373D"/>
    <w:rsid w:val="003A38AB"/>
    <w:rsid w:val="007919F5"/>
    <w:rsid w:val="007E2E13"/>
    <w:rsid w:val="00B63D38"/>
    <w:rsid w:val="00C053D9"/>
    <w:rsid w:val="00C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527DC-BE25-4C65-B46E-463AA5F6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13"/>
    <w:pPr>
      <w:spacing w:line="240" w:lineRule="auto"/>
      <w:jc w:val="left"/>
    </w:pPr>
    <w:rPr>
      <w:bCs w:val="0"/>
      <w:noProof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0373D"/>
    <w:pPr>
      <w:keepNext/>
      <w:keepLines/>
      <w:spacing w:before="480" w:after="80" w:line="360" w:lineRule="auto"/>
      <w:ind w:firstLineChars="200" w:firstLine="200"/>
      <w:jc w:val="both"/>
      <w:outlineLvl w:val="0"/>
    </w:pPr>
    <w:rPr>
      <w:rFonts w:asciiTheme="majorHAnsi" w:eastAsiaTheme="majorEastAsia" w:hAnsiTheme="majorHAnsi" w:cstheme="majorBidi"/>
      <w:bCs/>
      <w:noProof w:val="0"/>
      <w:color w:val="0F4761" w:themeColor="accent1" w:themeShade="BF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3D"/>
    <w:pPr>
      <w:keepNext/>
      <w:keepLines/>
      <w:spacing w:before="160" w:after="80" w:line="360" w:lineRule="auto"/>
      <w:ind w:firstLineChars="200" w:firstLine="200"/>
      <w:jc w:val="both"/>
      <w:outlineLvl w:val="1"/>
    </w:pPr>
    <w:rPr>
      <w:rFonts w:asciiTheme="majorHAnsi" w:eastAsiaTheme="majorEastAsia" w:hAnsiTheme="majorHAnsi" w:cstheme="majorBidi"/>
      <w:bCs/>
      <w:noProof w:val="0"/>
      <w:color w:val="0F4761" w:themeColor="accent1" w:themeShade="BF"/>
      <w:sz w:val="40"/>
      <w:szCs w:val="4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3D"/>
    <w:pPr>
      <w:keepNext/>
      <w:keepLines/>
      <w:spacing w:before="160" w:after="80" w:line="360" w:lineRule="auto"/>
      <w:ind w:firstLineChars="200" w:firstLine="200"/>
      <w:jc w:val="both"/>
      <w:outlineLvl w:val="2"/>
    </w:pPr>
    <w:rPr>
      <w:rFonts w:asciiTheme="majorHAnsi" w:eastAsiaTheme="majorEastAsia" w:hAnsiTheme="majorHAnsi" w:cstheme="majorBidi"/>
      <w:bCs/>
      <w:noProof w:val="0"/>
      <w:color w:val="0F4761" w:themeColor="accent1" w:themeShade="BF"/>
      <w:sz w:val="32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3D"/>
    <w:pPr>
      <w:keepNext/>
      <w:keepLines/>
      <w:spacing w:before="80" w:after="40" w:line="360" w:lineRule="auto"/>
      <w:ind w:firstLineChars="200" w:firstLine="200"/>
      <w:jc w:val="both"/>
      <w:outlineLvl w:val="3"/>
    </w:pPr>
    <w:rPr>
      <w:rFonts w:asciiTheme="minorHAnsi" w:hAnsiTheme="minorHAnsi" w:cstheme="majorBidi"/>
      <w:bCs/>
      <w:noProof w:val="0"/>
      <w:color w:val="0F4761" w:themeColor="accent1" w:themeShade="BF"/>
      <w:sz w:val="28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3D"/>
    <w:pPr>
      <w:keepNext/>
      <w:keepLines/>
      <w:spacing w:before="80" w:after="40" w:line="360" w:lineRule="auto"/>
      <w:ind w:firstLineChars="200" w:firstLine="200"/>
      <w:jc w:val="both"/>
      <w:outlineLvl w:val="4"/>
    </w:pPr>
    <w:rPr>
      <w:rFonts w:asciiTheme="minorHAnsi" w:hAnsiTheme="minorHAnsi" w:cstheme="majorBidi"/>
      <w:bCs/>
      <w:noProof w:val="0"/>
      <w:color w:val="0F4761" w:themeColor="accent1" w:themeShade="BF"/>
      <w:sz w:val="24"/>
      <w:szCs w:val="24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3D"/>
    <w:pPr>
      <w:keepNext/>
      <w:keepLines/>
      <w:spacing w:before="40" w:line="360" w:lineRule="auto"/>
      <w:ind w:firstLineChars="200" w:firstLine="200"/>
      <w:jc w:val="both"/>
      <w:outlineLvl w:val="5"/>
    </w:pPr>
    <w:rPr>
      <w:rFonts w:asciiTheme="minorHAnsi" w:hAnsiTheme="minorHAnsi" w:cstheme="majorBidi"/>
      <w:b/>
      <w:bCs/>
      <w:noProof w:val="0"/>
      <w:color w:val="0F4761" w:themeColor="accent1" w:themeShade="BF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3D"/>
    <w:pPr>
      <w:keepNext/>
      <w:keepLines/>
      <w:spacing w:before="40" w:line="360" w:lineRule="auto"/>
      <w:ind w:firstLineChars="200" w:firstLine="200"/>
      <w:jc w:val="both"/>
      <w:outlineLvl w:val="6"/>
    </w:pPr>
    <w:rPr>
      <w:rFonts w:asciiTheme="minorHAnsi" w:hAnsiTheme="minorHAnsi" w:cstheme="majorBidi"/>
      <w:b/>
      <w:bCs/>
      <w:noProof w:val="0"/>
      <w:color w:val="595959" w:themeColor="text1" w:themeTint="A6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3D"/>
    <w:pPr>
      <w:keepNext/>
      <w:keepLines/>
      <w:spacing w:line="360" w:lineRule="auto"/>
      <w:ind w:firstLineChars="200" w:firstLine="200"/>
      <w:jc w:val="both"/>
      <w:outlineLvl w:val="7"/>
    </w:pPr>
    <w:rPr>
      <w:rFonts w:asciiTheme="minorHAnsi" w:hAnsiTheme="minorHAnsi" w:cstheme="majorBidi"/>
      <w:bCs/>
      <w:noProof w:val="0"/>
      <w:color w:val="595959" w:themeColor="text1" w:themeTint="A6"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3D"/>
    <w:pPr>
      <w:keepNext/>
      <w:keepLines/>
      <w:spacing w:line="360" w:lineRule="auto"/>
      <w:ind w:firstLineChars="200" w:firstLine="200"/>
      <w:jc w:val="both"/>
      <w:outlineLvl w:val="8"/>
    </w:pPr>
    <w:rPr>
      <w:rFonts w:asciiTheme="minorHAnsi" w:eastAsiaTheme="majorEastAsia" w:hAnsiTheme="minorHAnsi" w:cstheme="majorBidi"/>
      <w:bCs/>
      <w:noProof w:val="0"/>
      <w:color w:val="595959" w:themeColor="text1" w:themeTint="A6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3D"/>
    <w:rPr>
      <w:rFonts w:asciiTheme="minorHAnsi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3D"/>
    <w:rPr>
      <w:rFonts w:asciiTheme="minorHAnsi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0373D"/>
    <w:rPr>
      <w:rFonts w:asciiTheme="minorHAnsi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3D"/>
    <w:rPr>
      <w:rFonts w:asciiTheme="minorHAnsi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3D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3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3D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bCs/>
      <w:noProof w:val="0"/>
      <w:spacing w:val="-10"/>
      <w:kern w:val="28"/>
      <w:sz w:val="56"/>
      <w:szCs w:val="56"/>
      <w:lang w:val="en-US" w:eastAsia="zh-CN"/>
    </w:rPr>
  </w:style>
  <w:style w:type="character" w:customStyle="1" w:styleId="a4">
    <w:name w:val="标题 字符"/>
    <w:basedOn w:val="a0"/>
    <w:link w:val="a3"/>
    <w:uiPriority w:val="10"/>
    <w:rsid w:val="0000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3D"/>
    <w:pPr>
      <w:numPr>
        <w:ilvl w:val="1"/>
      </w:numPr>
      <w:spacing w:after="160" w:line="360" w:lineRule="auto"/>
      <w:ind w:firstLineChars="200" w:firstLine="200"/>
      <w:jc w:val="center"/>
    </w:pPr>
    <w:rPr>
      <w:rFonts w:asciiTheme="majorHAnsi" w:eastAsiaTheme="majorEastAsia" w:hAnsiTheme="majorHAnsi" w:cstheme="majorBidi"/>
      <w:bCs/>
      <w:noProof w:val="0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a6">
    <w:name w:val="副标题 字符"/>
    <w:basedOn w:val="a0"/>
    <w:link w:val="a5"/>
    <w:uiPriority w:val="11"/>
    <w:rsid w:val="0000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3D"/>
    <w:pPr>
      <w:spacing w:before="160" w:after="160" w:line="360" w:lineRule="auto"/>
      <w:ind w:firstLineChars="200" w:firstLine="200"/>
      <w:jc w:val="center"/>
    </w:pPr>
    <w:rPr>
      <w:bCs/>
      <w:i/>
      <w:iCs/>
      <w:noProof w:val="0"/>
      <w:color w:val="404040" w:themeColor="text1" w:themeTint="BF"/>
      <w:sz w:val="24"/>
      <w:szCs w:val="24"/>
      <w:lang w:val="en-US" w:eastAsia="zh-CN"/>
    </w:rPr>
  </w:style>
  <w:style w:type="character" w:customStyle="1" w:styleId="a8">
    <w:name w:val="引用 字符"/>
    <w:basedOn w:val="a0"/>
    <w:link w:val="a7"/>
    <w:uiPriority w:val="29"/>
    <w:rsid w:val="0000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3D"/>
    <w:pPr>
      <w:spacing w:line="360" w:lineRule="auto"/>
      <w:ind w:left="720" w:firstLineChars="200" w:firstLine="200"/>
      <w:contextualSpacing/>
      <w:jc w:val="both"/>
    </w:pPr>
    <w:rPr>
      <w:bCs/>
      <w:noProof w:val="0"/>
      <w:sz w:val="24"/>
      <w:szCs w:val="24"/>
      <w:lang w:val="en-US" w:eastAsia="zh-CN"/>
    </w:rPr>
  </w:style>
  <w:style w:type="character" w:styleId="aa">
    <w:name w:val="Intense Emphasis"/>
    <w:basedOn w:val="a0"/>
    <w:uiPriority w:val="21"/>
    <w:qFormat/>
    <w:rsid w:val="000037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 w:firstLineChars="200" w:firstLine="200"/>
      <w:jc w:val="center"/>
    </w:pPr>
    <w:rPr>
      <w:bCs/>
      <w:i/>
      <w:iCs/>
      <w:noProof w:val="0"/>
      <w:color w:val="0F4761" w:themeColor="accent1" w:themeShade="BF"/>
      <w:sz w:val="24"/>
      <w:szCs w:val="24"/>
      <w:lang w:val="en-US" w:eastAsia="zh-CN"/>
    </w:rPr>
  </w:style>
  <w:style w:type="character" w:customStyle="1" w:styleId="ac">
    <w:name w:val="明显引用 字符"/>
    <w:basedOn w:val="a0"/>
    <w:link w:val="ab"/>
    <w:uiPriority w:val="30"/>
    <w:rsid w:val="000037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373D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jieyun bai</dc:creator>
  <cp:keywords/>
  <dc:description/>
  <cp:lastModifiedBy>jieyun bai</cp:lastModifiedBy>
  <cp:revision>2</cp:revision>
  <dcterms:created xsi:type="dcterms:W3CDTF">2026-03-05T12:01:00Z</dcterms:created>
  <dcterms:modified xsi:type="dcterms:W3CDTF">2026-03-05T12:02:00Z</dcterms:modified>
</cp:coreProperties>
</file>