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0E0E">
      <w:pPr>
        <w:spacing w:after="0"/>
        <w:contextualSpacing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подходов к синтезу новых биологически активных сульфонамидных производных индола</w:t>
      </w:r>
    </w:p>
    <w:p w14:paraId="01BFD7E9">
      <w:pPr>
        <w:spacing w:after="0"/>
        <w:contextualSpacing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В</w:t>
      </w:r>
      <w:r>
        <w:rPr>
          <w:b/>
          <w:i/>
          <w:iCs/>
          <w:sz w:val="24"/>
          <w:szCs w:val="24"/>
          <w:lang w:val="ru-RU"/>
        </w:rPr>
        <w:t>оронцовюС</w:t>
      </w:r>
      <w:r>
        <w:rPr>
          <w:rFonts w:hint="default"/>
          <w:b/>
          <w:i/>
          <w:iCs/>
          <w:sz w:val="24"/>
          <w:szCs w:val="24"/>
          <w:lang w:val="ru-RU"/>
        </w:rPr>
        <w:t>.М</w:t>
      </w:r>
      <w:r>
        <w:rPr>
          <w:b/>
          <w:i/>
          <w:iCs/>
          <w:sz w:val="24"/>
          <w:szCs w:val="24"/>
        </w:rPr>
        <w:t>.,</w:t>
      </w:r>
      <w:r>
        <w:rPr>
          <w:b/>
          <w:i/>
          <w:iCs/>
          <w:sz w:val="24"/>
          <w:szCs w:val="24"/>
          <w:vertAlign w:val="superscript"/>
        </w:rPr>
        <w:t>2</w:t>
      </w:r>
      <w:r>
        <w:rPr>
          <w:b/>
          <w:i/>
          <w:iCs/>
          <w:sz w:val="24"/>
          <w:szCs w:val="24"/>
        </w:rPr>
        <w:t xml:space="preserve">  </w:t>
      </w:r>
      <w:r>
        <w:rPr>
          <w:b/>
          <w:i/>
          <w:iCs/>
          <w:sz w:val="24"/>
          <w:szCs w:val="24"/>
          <w:lang w:val="ru-RU"/>
        </w:rPr>
        <w:t>Корсаков</w:t>
      </w:r>
      <w:r>
        <w:rPr>
          <w:rFonts w:hint="default"/>
          <w:b/>
          <w:i/>
          <w:iCs/>
          <w:sz w:val="24"/>
          <w:szCs w:val="24"/>
          <w:lang w:val="ru-RU"/>
        </w:rPr>
        <w:t>.М.К</w:t>
      </w:r>
      <w:r>
        <w:rPr>
          <w:b/>
          <w:i/>
          <w:iCs/>
          <w:sz w:val="24"/>
          <w:szCs w:val="24"/>
        </w:rPr>
        <w:t>.</w:t>
      </w:r>
      <w:r>
        <w:rPr>
          <w:b/>
          <w:i/>
          <w:iCs/>
          <w:sz w:val="24"/>
          <w:szCs w:val="24"/>
          <w:vertAlign w:val="superscript"/>
        </w:rPr>
        <w:t xml:space="preserve"> </w:t>
      </w:r>
      <w:r>
        <w:rPr>
          <w:rFonts w:hint="default"/>
          <w:b/>
          <w:i/>
          <w:iCs/>
          <w:sz w:val="24"/>
          <w:szCs w:val="24"/>
          <w:vertAlign w:val="superscript"/>
          <w:lang w:val="ru-RU"/>
        </w:rPr>
        <w:t>1,</w:t>
      </w:r>
      <w:r>
        <w:rPr>
          <w:b/>
          <w:i/>
          <w:iCs/>
          <w:sz w:val="24"/>
          <w:szCs w:val="24"/>
          <w:vertAlign w:val="superscript"/>
        </w:rPr>
        <w:t>2</w:t>
      </w:r>
    </w:p>
    <w:p w14:paraId="3B585C1F">
      <w:pPr>
        <w:shd w:val="clear" w:color="auto" w:fill="FFFFFF"/>
        <w:spacing w:after="200"/>
        <w:contextualSpacing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lang w:eastAsia="ru-RU"/>
        </w:rPr>
        <w:t>Аспирант 1 год обучения</w:t>
      </w:r>
    </w:p>
    <w:p w14:paraId="127E6DDF">
      <w:pPr>
        <w:shd w:val="clear" w:color="auto" w:fill="FFFFFF"/>
        <w:spacing w:after="200"/>
        <w:contextualSpacing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vertAlign w:val="superscript"/>
          <w:lang w:eastAsia="ru-RU"/>
        </w:rPr>
        <w:t xml:space="preserve">1 </w:t>
      </w:r>
      <w:r>
        <w:rPr>
          <w:rFonts w:eastAsia="Times New Roman"/>
          <w:i/>
          <w:color w:val="000000"/>
          <w:sz w:val="24"/>
          <w:szCs w:val="24"/>
          <w:lang w:eastAsia="ru-RU"/>
        </w:rPr>
        <w:t>Российский государственный университет имени А.Н. Косыгина (Технологии. Дизайн.Искусство), Москва, Россия</w:t>
      </w:r>
    </w:p>
    <w:p w14:paraId="3C793720">
      <w:pPr>
        <w:shd w:val="clear" w:color="auto" w:fill="FFFFFF"/>
        <w:spacing w:after="20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vertAlign w:val="superscript"/>
          <w:lang w:eastAsia="ru-RU"/>
        </w:rPr>
        <w:t xml:space="preserve">2 </w:t>
      </w:r>
      <w:r>
        <w:rPr>
          <w:rFonts w:eastAsia="Times New Roman"/>
          <w:i/>
          <w:color w:val="000000"/>
          <w:sz w:val="24"/>
          <w:szCs w:val="24"/>
          <w:lang w:eastAsia="ru-RU"/>
        </w:rPr>
        <w:t>Ярославский государственный педагогический университет имени К.Д. Ушинского, естественно-географический факультет, Ярославль, Россия</w:t>
      </w:r>
    </w:p>
    <w:p w14:paraId="77492FFE">
      <w:pPr>
        <w:shd w:val="clear" w:color="auto" w:fill="FFFFFF"/>
        <w:spacing w:after="200"/>
        <w:contextualSpacing/>
        <w:jc w:val="center"/>
        <w:rPr>
          <w:rFonts w:hint="default" w:eastAsia="Times New Roman"/>
          <w:i/>
          <w:color w:val="000000"/>
          <w:sz w:val="24"/>
          <w:szCs w:val="24"/>
          <w:lang w:val="en-US" w:eastAsia="ru-RU"/>
        </w:rPr>
      </w:pPr>
      <w:r>
        <w:rPr>
          <w:rFonts w:eastAsia="Times New Roman"/>
          <w:i/>
          <w:color w:val="000000"/>
          <w:sz w:val="24"/>
          <w:szCs w:val="24"/>
          <w:lang w:val="en-US" w:eastAsia="ru-RU"/>
        </w:rPr>
        <w:t xml:space="preserve">E–mail: </w:t>
      </w:r>
      <w:r>
        <w:rPr>
          <w:rFonts w:hint="default" w:eastAsia="Times New Roman"/>
          <w:i/>
          <w:color w:val="000000"/>
          <w:sz w:val="24"/>
          <w:szCs w:val="24"/>
          <w:lang w:val="en-US" w:eastAsia="ru-RU"/>
        </w:rPr>
        <w:fldChar w:fldCharType="begin"/>
      </w:r>
      <w:r>
        <w:rPr>
          <w:rFonts w:hint="default" w:eastAsia="Times New Roman"/>
          <w:i/>
          <w:color w:val="000000"/>
          <w:sz w:val="24"/>
          <w:szCs w:val="24"/>
          <w:lang w:val="en-US" w:eastAsia="ru-RU"/>
        </w:rPr>
        <w:instrText xml:space="preserve"> HYPERLINK "mailto:semen.voron.01@mail.ru" </w:instrText>
      </w:r>
      <w:r>
        <w:rPr>
          <w:rFonts w:hint="default" w:eastAsia="Times New Roman"/>
          <w:i/>
          <w:color w:val="000000"/>
          <w:sz w:val="24"/>
          <w:szCs w:val="24"/>
          <w:lang w:val="en-US" w:eastAsia="ru-RU"/>
        </w:rPr>
        <w:fldChar w:fldCharType="separate"/>
      </w:r>
      <w:r>
        <w:rPr>
          <w:rStyle w:val="4"/>
          <w:rFonts w:hint="default" w:eastAsia="Times New Roman"/>
          <w:i/>
          <w:sz w:val="24"/>
          <w:szCs w:val="24"/>
          <w:lang w:val="en-US" w:eastAsia="ru-RU"/>
        </w:rPr>
        <w:t>semen.voron.01@mail.ru</w:t>
      </w:r>
      <w:r>
        <w:rPr>
          <w:rFonts w:hint="default" w:eastAsia="Times New Roman"/>
          <w:i/>
          <w:color w:val="000000"/>
          <w:sz w:val="24"/>
          <w:szCs w:val="24"/>
          <w:lang w:val="en-US" w:eastAsia="ru-RU"/>
        </w:rPr>
        <w:fldChar w:fldCharType="end"/>
      </w:r>
    </w:p>
    <w:p w14:paraId="5BFFF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65" w:firstLineChars="69"/>
        <w:jc w:val="both"/>
        <w:textAlignment w:val="auto"/>
        <w:rPr>
          <w:rFonts w:hint="default"/>
          <w:sz w:val="24"/>
          <w:szCs w:val="24"/>
          <w:lang w:val="en-US" w:eastAsia="ru-RU"/>
        </w:rPr>
      </w:pPr>
      <w:r>
        <w:rPr>
          <w:rFonts w:hint="default"/>
          <w:sz w:val="24"/>
          <w:szCs w:val="24"/>
          <w:lang w:val="ru-RU"/>
        </w:rPr>
        <w:t>Данная работа посвящена разработке новой одностадийной методики получения сульфонамидных  тетрагидрокарбазолона. Предложенная методика позволяет объединить стадии образования гидразона и циклизации, что существенно упрощает синтез по сравнению с известными двухстадийными протоколами.</w:t>
      </w:r>
    </w:p>
    <w:p w14:paraId="53CB2D17">
      <w:pPr>
        <w:shd w:val="clear" w:color="auto" w:fill="FFFFFF"/>
        <w:spacing w:after="200"/>
        <w:contextualSpacing/>
        <w:jc w:val="center"/>
      </w:pPr>
      <w:r>
        <w:drawing>
          <wp:inline distT="0" distB="0" distL="114300" distR="114300">
            <wp:extent cx="4629150" cy="100965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931DF">
      <w:pPr>
        <w:shd w:val="clear" w:color="auto" w:fill="FFFFFF"/>
        <w:spacing w:after="200"/>
        <w:contextualSpacing/>
        <w:jc w:val="center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Схема 1. Схема синтезов тетрагидрокарбозолонов</w:t>
      </w:r>
    </w:p>
    <w:p w14:paraId="37F6C292">
      <w:pPr>
        <w:shd w:val="clear" w:color="auto" w:fill="FFFFFF"/>
        <w:spacing w:after="200"/>
        <w:contextualSpacing/>
        <w:jc w:val="center"/>
      </w:pPr>
      <w:r>
        <w:drawing>
          <wp:inline distT="0" distB="0" distL="114300" distR="114300">
            <wp:extent cx="5271770" cy="823595"/>
            <wp:effectExtent l="0" t="0" r="5080" b="1460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FC1A">
      <w:pPr>
        <w:shd w:val="clear" w:color="auto" w:fill="FFFFFF"/>
        <w:spacing w:after="200"/>
        <w:ind w:left="0" w:leftChars="0"/>
        <w:contextualSpacing/>
        <w:jc w:val="center"/>
        <w:rPr>
          <w:rFonts w:hint="default"/>
          <w:sz w:val="24"/>
          <w:szCs w:val="24"/>
          <w:lang w:val="en-US" w:eastAsia="ru-RU"/>
        </w:rPr>
      </w:pPr>
      <w:r>
        <w:rPr>
          <w:rFonts w:hint="default"/>
          <w:sz w:val="24"/>
          <w:szCs w:val="24"/>
          <w:lang w:val="ru-RU" w:eastAsia="ru-RU"/>
        </w:rPr>
        <w:t>Схема</w:t>
      </w:r>
      <w:r>
        <w:rPr>
          <w:rFonts w:hint="default"/>
          <w:sz w:val="24"/>
          <w:szCs w:val="24"/>
          <w:lang w:val="en-US" w:eastAsia="ru-RU"/>
        </w:rPr>
        <w:t xml:space="preserve"> 2. Схема синтезов сульфонамидов  тетрагидрокарбозолона</w:t>
      </w:r>
    </w:p>
    <w:p w14:paraId="07B31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65" w:firstLineChars="69"/>
        <w:jc w:val="both"/>
        <w:textAlignment w:val="auto"/>
        <w:rPr>
          <w:rFonts w:hint="default"/>
          <w:sz w:val="24"/>
          <w:szCs w:val="24"/>
          <w:lang w:val="en-US" w:eastAsia="ru-RU"/>
        </w:rPr>
      </w:pPr>
      <w:r>
        <w:rPr>
          <w:rFonts w:hint="default"/>
          <w:sz w:val="24"/>
          <w:szCs w:val="24"/>
          <w:lang w:val="en-US" w:eastAsia="ru-RU"/>
        </w:rPr>
        <w:t xml:space="preserve">Производные тетрагидрокарбозолона были получены путем взаимодействия фенилгидразина солянокислый с димедоном по механизму реакции Фишера </w:t>
      </w:r>
      <w:r>
        <w:rPr>
          <w:rFonts w:hint="default"/>
          <w:sz w:val="24"/>
          <w:szCs w:val="24"/>
          <w:lang w:val="en-US"/>
        </w:rPr>
        <w:t>[</w:t>
      </w:r>
      <w:r>
        <w:rPr>
          <w:rFonts w:hint="default"/>
          <w:sz w:val="24"/>
          <w:szCs w:val="24"/>
          <w:lang w:val="ru-RU"/>
        </w:rPr>
        <w:t>1</w:t>
      </w:r>
      <w:r>
        <w:rPr>
          <w:rFonts w:hint="default"/>
          <w:sz w:val="24"/>
          <w:szCs w:val="24"/>
          <w:lang w:val="en-US"/>
        </w:rPr>
        <w:t>]</w:t>
      </w:r>
      <w:r>
        <w:rPr>
          <w:rFonts w:hint="default"/>
          <w:sz w:val="24"/>
          <w:szCs w:val="24"/>
          <w:lang w:val="en-US" w:eastAsia="ru-RU"/>
        </w:rPr>
        <w:t xml:space="preserve">. В качестве растворителя и источником протонов была выбрана уксусная кислота, а ход реакции отслеживали с помощью ТСХ. Таким образом были получены производные тетрагидрокарбозолона с различными заместителями в положении 6. </w:t>
      </w:r>
    </w:p>
    <w:p w14:paraId="49482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65" w:firstLineChars="69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На основе разработанного метода получены серии структурных аналогов на основе тетрагидрокарбазолона. Проведено детальное изучение поведения этих гетероциклических систем в реакции сульфохлорирования</w:t>
      </w:r>
      <w:r>
        <w:rPr>
          <w:rFonts w:hint="default"/>
          <w:sz w:val="24"/>
          <w:szCs w:val="24"/>
          <w:lang w:val="en-US"/>
        </w:rPr>
        <w:t xml:space="preserve"> [</w:t>
      </w:r>
      <w:r>
        <w:rPr>
          <w:rFonts w:hint="default"/>
          <w:sz w:val="24"/>
          <w:szCs w:val="24"/>
          <w:lang w:val="ru-RU"/>
        </w:rPr>
        <w:t>2</w:t>
      </w:r>
      <w:r>
        <w:rPr>
          <w:rFonts w:hint="default"/>
          <w:sz w:val="24"/>
          <w:szCs w:val="24"/>
          <w:lang w:val="en-US"/>
        </w:rPr>
        <w:t>]</w:t>
      </w:r>
      <w:r>
        <w:rPr>
          <w:rFonts w:hint="default"/>
          <w:sz w:val="24"/>
          <w:szCs w:val="24"/>
          <w:lang w:val="ru-RU"/>
        </w:rPr>
        <w:t xml:space="preserve">, в первую очередь - их региоселективности. Методами 1H- и 13C-ЯМР спектроскопии установлено, 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 xml:space="preserve">что для производных тетрагидрокарбазолонов реакция идет неселективно, что указывает на ключевую роль карбонильной группы в электронной структуре и реакционной способности субстрата. </w:t>
      </w:r>
    </w:p>
    <w:p w14:paraId="2C9E4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66" w:firstLineChars="69"/>
        <w:jc w:val="center"/>
        <w:textAlignment w:val="auto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Литература</w:t>
      </w:r>
    </w:p>
    <w:p w14:paraId="3296797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65" w:firstLineChars="69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Robinson B. The Fischer indole synthesis //Chemical reviews. – 1963. – Т. 63. – №. 4. – С. 373-401.</w:t>
      </w:r>
    </w:p>
    <w:p w14:paraId="0167623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65" w:firstLineChars="69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Janosik T. et al. Efficient sulfonation of 1-phenylsulfonyl-1H-pyrroles and 1-phenylsulfonyl-1H-indoles using chlorosulfonic acid in acetonitrile //Tetrahedron. – 2006. – Т. 62. – №. 8. – С. 1699-1707.</w:t>
      </w:r>
    </w:p>
    <w:p w14:paraId="28ABB7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69"/>
        <w:jc w:val="both"/>
        <w:textAlignment w:val="auto"/>
        <w:rPr>
          <w:rFonts w:hint="default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CBCAD"/>
    <w:multiLevelType w:val="singleLevel"/>
    <w:tmpl w:val="42ACBC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4049"/>
    <w:rsid w:val="47B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2026-02-26T15:49:00Z</dcterms:created>
  <dc:creator>artem</dc:creator>
  <cp:lastModifiedBy>Семён Воронцов</cp:lastModifiedBy>
  <dcterms:modified xsi:type="dcterms:W3CDTF">2026-03-01T19:16:09Z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7980FB24F78647B1B1B4E4608F984D06_12</vt:lpwstr>
  </property>
</Properties>
</file>