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08CE0">
      <w:pPr>
        <w:spacing w:after="0"/>
        <w:jc w:val="center"/>
        <w:outlineLvl w:val="0"/>
        <w:rPr>
          <w:rFonts w:cs="Times New Roman"/>
          <w:sz w:val="24"/>
          <w:szCs w:val="24"/>
        </w:rPr>
      </w:pPr>
      <w:r>
        <w:rPr>
          <w:rFonts w:hint="default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b/>
          <w:bCs/>
          <w:color w:val="000000"/>
          <w:sz w:val="24"/>
          <w:szCs w:val="24"/>
        </w:rPr>
        <w:t>Оптимизация и масштабирование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синтеза </w:t>
      </w:r>
      <w:r>
        <w:rPr>
          <w:rFonts w:cs="Times New Roman"/>
          <w:b/>
          <w:bCs/>
          <w:sz w:val="24"/>
          <w:szCs w:val="24"/>
        </w:rPr>
        <w:t>2-(4-бром-3-(3-хлор-5-цианофенокси)-2-фторфенил)уксусной кислоты как ключевого интермедиата при получении фармацевтической субстанции элсульфаверина</w:t>
      </w:r>
    </w:p>
    <w:p w14:paraId="652134D1">
      <w:pPr>
        <w:spacing w:after="0"/>
        <w:jc w:val="center"/>
        <w:outlineLvl w:val="0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Зиборов Д.С., Чернышов В.В.</w:t>
      </w:r>
    </w:p>
    <w:p w14:paraId="5A719D67">
      <w:pPr>
        <w:pStyle w:val="10"/>
        <w:widowControl/>
        <w:ind w:firstLine="397"/>
        <w:jc w:val="center"/>
        <w:rPr>
          <w:rFonts w:hint="default"/>
          <w:i/>
          <w:iCs/>
          <w:lang w:val="ru-RU"/>
        </w:rPr>
      </w:pPr>
      <w:r>
        <w:rPr>
          <w:i/>
          <w:iCs/>
          <w:lang w:val="ru-RU"/>
        </w:rPr>
        <w:t>Студент</w:t>
      </w:r>
      <w:r>
        <w:rPr>
          <w:i/>
          <w:iCs/>
        </w:rPr>
        <w:t xml:space="preserve">, 1 </w:t>
      </w:r>
      <w:r>
        <w:rPr>
          <w:i/>
          <w:iCs/>
          <w:lang w:val="ru-RU"/>
        </w:rPr>
        <w:t>курс</w:t>
      </w:r>
      <w:r>
        <w:rPr>
          <w:rFonts w:hint="default"/>
          <w:i/>
          <w:iCs/>
          <w:lang w:val="ru-RU"/>
        </w:rPr>
        <w:t xml:space="preserve"> магистратуры</w:t>
      </w:r>
    </w:p>
    <w:p w14:paraId="3D291965">
      <w:pPr>
        <w:pStyle w:val="10"/>
        <w:widowControl/>
        <w:ind w:firstLine="397"/>
        <w:jc w:val="center"/>
        <w:rPr>
          <w:i/>
          <w:iCs/>
        </w:rPr>
      </w:pPr>
      <w:r>
        <w:rPr>
          <w:i/>
          <w:iCs/>
        </w:rPr>
        <w:t>Московский физико-технический институт</w:t>
      </w:r>
    </w:p>
    <w:p w14:paraId="05852C43">
      <w:pPr>
        <w:pStyle w:val="10"/>
        <w:widowControl/>
        <w:ind w:firstLine="397"/>
        <w:jc w:val="center"/>
        <w:rPr>
          <w:i/>
          <w:iCs/>
        </w:rPr>
      </w:pPr>
      <w:r>
        <w:rPr>
          <w:rStyle w:val="5"/>
          <w:rFonts w:eastAsia="Arial"/>
          <w:b w:val="0"/>
          <w:bCs w:val="0"/>
          <w:i/>
          <w:iCs/>
          <w:color w:val="333333"/>
          <w:shd w:val="clear" w:color="auto" w:fill="FFFFFF"/>
        </w:rPr>
        <w:t>Кафедра инновационной фармацевтики, медицинской техники и биотехнологий</w:t>
      </w:r>
      <w:r>
        <w:rPr>
          <w:i/>
          <w:iCs/>
        </w:rPr>
        <w:t>, Долгопрудный, Россия</w:t>
      </w:r>
    </w:p>
    <w:p w14:paraId="1ACC0E6E">
      <w:pPr>
        <w:spacing w:after="0"/>
        <w:ind w:firstLine="397"/>
        <w:jc w:val="center"/>
        <w:rPr>
          <w:sz w:val="24"/>
          <w:szCs w:val="24"/>
          <w:lang w:eastAsia="ru-RU"/>
        </w:rPr>
      </w:pPr>
      <w:r>
        <w:rPr>
          <w:i/>
          <w:iCs/>
          <w:sz w:val="24"/>
          <w:szCs w:val="24"/>
        </w:rPr>
        <w:t>E-mail: dimanevazno2361@gmail.com</w:t>
      </w:r>
    </w:p>
    <w:p w14:paraId="70F1CDA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165" w:firstLineChars="69"/>
        <w:contextualSpacing/>
        <w:jc w:val="both"/>
        <w:textAlignment w:val="auto"/>
        <w:rPr>
          <w:rFonts w:hint="default" w:eastAsia="Segoe UI"/>
          <w:lang w:val="ru-RU"/>
        </w:rPr>
      </w:pPr>
      <w:r>
        <w:rPr>
          <w:rFonts w:eastAsia="Segoe UI"/>
          <w:lang w:val="ru-RU"/>
        </w:rPr>
        <w:t>Эльсульфавирин натрия (</w:t>
      </w:r>
      <w:r>
        <w:rPr>
          <w:rFonts w:eastAsia="Segoe UI"/>
          <w:b/>
          <w:bCs/>
          <w:lang w:val="ru-RU"/>
        </w:rPr>
        <w:t>1</w:t>
      </w:r>
      <w:r>
        <w:rPr>
          <w:rFonts w:eastAsia="Segoe UI"/>
          <w:lang w:val="ru-RU"/>
        </w:rPr>
        <w:t xml:space="preserve">) является ненуклеозидным ингибитором обратной транскриптазы нового поколения, который </w:t>
      </w:r>
      <w:r>
        <w:rPr>
          <w:shd w:val="clear" w:color="auto" w:fill="FDFDFD"/>
          <w:lang w:val="ru-RU"/>
        </w:rPr>
        <w:t>был зарегистрирован в России в 2017 году</w:t>
      </w:r>
      <w:r>
        <w:rPr>
          <w:rFonts w:eastAsia="Segoe UI"/>
          <w:lang w:val="ru-RU"/>
        </w:rPr>
        <w:t xml:space="preserve"> как фармацевтический препарат Элпида®</w:t>
      </w:r>
      <w:r>
        <w:rPr>
          <w:shd w:val="clear" w:color="auto" w:fill="FDFDFD"/>
          <w:lang w:val="ru-RU"/>
        </w:rPr>
        <w:t>, а в 2018 году включен в перечень ЖНВЛП для лечения больных ВИЧ-1</w:t>
      </w:r>
      <w:r>
        <w:rPr>
          <w:rFonts w:eastAsia="Segoe UI"/>
          <w:lang w:val="ru-RU"/>
        </w:rPr>
        <w:t>. В настоящее время группа компаний ХимРар осуществляет полный цикл производства этого препарата, в том числе многостадийный синтез элсульфаверина натрия (</w:t>
      </w:r>
      <w:r>
        <w:rPr>
          <w:rFonts w:eastAsia="Segoe UI"/>
          <w:b/>
          <w:bCs/>
          <w:lang w:val="ru-RU"/>
        </w:rPr>
        <w:t>1</w:t>
      </w:r>
      <w:r>
        <w:rPr>
          <w:rFonts w:eastAsia="Segoe UI"/>
          <w:lang w:val="ru-RU"/>
        </w:rPr>
        <w:t>). Стоит отметить, что промышленное производство фармацевтической субстанции ограничено невысокой эффективностью известных синтетических маршрутов [</w:t>
      </w:r>
      <w:r>
        <w:rPr>
          <w:rFonts w:hint="default" w:eastAsia="Segoe UI"/>
          <w:lang w:val="ru-RU"/>
        </w:rPr>
        <w:t>1</w:t>
      </w:r>
      <w:r>
        <w:rPr>
          <w:rFonts w:hint="default" w:eastAsia="Segoe UI"/>
          <w:lang w:val="en-US"/>
        </w:rPr>
        <w:t xml:space="preserve">], </w:t>
      </w:r>
      <w:r>
        <w:rPr>
          <w:rFonts w:eastAsia="Segoe UI"/>
          <w:lang w:val="ru-RU"/>
        </w:rPr>
        <w:t>обусловленных субоптимальными выходами, технологическими ограничениями, связанными с использованием гидрида натрия на первых стадиях, а также образованием неприемлемого количества промежуточных родственных примесей (</w:t>
      </w:r>
      <w:r>
        <w:rPr>
          <w:rFonts w:eastAsia="Segoe UI"/>
          <w:b/>
          <w:bCs/>
          <w:lang w:val="ru-RU"/>
        </w:rPr>
        <w:t>2,</w:t>
      </w:r>
      <w:r>
        <w:rPr>
          <w:rFonts w:hint="default" w:eastAsia="Segoe UI"/>
          <w:b/>
          <w:bCs/>
          <w:lang w:val="ru-RU"/>
        </w:rPr>
        <w:t xml:space="preserve"> </w:t>
      </w:r>
      <w:r>
        <w:rPr>
          <w:rFonts w:eastAsia="Segoe UI"/>
          <w:b/>
          <w:bCs/>
          <w:lang w:val="ru-RU"/>
        </w:rPr>
        <w:t>3</w:t>
      </w:r>
      <w:r>
        <w:rPr>
          <w:rFonts w:eastAsia="Segoe UI"/>
          <w:lang w:val="ru-RU"/>
        </w:rPr>
        <w:t>)</w:t>
      </w:r>
      <w:r>
        <w:rPr>
          <w:rFonts w:hint="default" w:eastAsia="Segoe UI"/>
          <w:lang w:val="ru-RU"/>
        </w:rPr>
        <w:t xml:space="preserve"> </w:t>
      </w:r>
      <w:r>
        <w:rPr>
          <w:rFonts w:eastAsia="Segoe UI"/>
          <w:lang w:val="ru-RU"/>
        </w:rPr>
        <w:t>(рис. 1)</w:t>
      </w:r>
      <w:r>
        <w:rPr>
          <w:rFonts w:hint="default" w:eastAsia="Segoe UI"/>
          <w:lang w:val="ru-RU"/>
        </w:rPr>
        <w:t>.</w:t>
      </w:r>
    </w:p>
    <w:p w14:paraId="5964D79E">
      <w:pPr>
        <w:pStyle w:val="9"/>
        <w:spacing w:beforeAutospacing="0"/>
        <w:contextualSpacing/>
        <w:jc w:val="center"/>
      </w:pPr>
      <w:r>
        <w:rPr>
          <w:lang w:val="ru-RU" w:eastAsia="ru-RU"/>
        </w:rPr>
        <w:drawing>
          <wp:inline distT="0" distB="0" distL="114300" distR="114300">
            <wp:extent cx="5447665" cy="1069340"/>
            <wp:effectExtent l="0" t="0" r="635" b="1651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 l="6246" t="13740" b="60252"/>
                    <a:stretch>
                      <a:fillRect/>
                    </a:stretch>
                  </pic:blipFill>
                  <pic:spPr>
                    <a:xfrm>
                      <a:off x="0" y="0"/>
                      <a:ext cx="5447665" cy="1069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8B2FC26">
      <w:pPr>
        <w:pStyle w:val="9"/>
        <w:spacing w:beforeAutospacing="0" w:afterLines="50" w:afterAutospacing="0"/>
        <w:ind w:firstLine="166" w:firstLineChars="69"/>
        <w:contextualSpacing/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Рисунок 1</w:t>
      </w:r>
      <w:r>
        <w:rPr>
          <w:sz w:val="24"/>
          <w:szCs w:val="24"/>
          <w:lang w:val="ru-RU"/>
        </w:rPr>
        <w:t xml:space="preserve"> Элсульфаверин натрия и критические примеси при его производстве.</w:t>
      </w:r>
    </w:p>
    <w:p w14:paraId="5C1F152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165" w:firstLineChars="69"/>
        <w:jc w:val="both"/>
        <w:textAlignment w:val="auto"/>
        <w:rPr>
          <w:rFonts w:eastAsia="Segoe UI"/>
          <w:lang w:val="ru-RU"/>
        </w:rPr>
      </w:pPr>
      <w:r>
        <w:rPr>
          <w:rFonts w:eastAsia="Segoe UI"/>
          <w:lang w:val="ru-RU"/>
        </w:rPr>
        <w:t>В данной работе предложен альтернативный путь синтеза (рис.</w:t>
      </w:r>
      <w:r>
        <w:rPr>
          <w:rFonts w:hint="default" w:eastAsia="Segoe UI"/>
          <w:lang w:val="ru-RU"/>
        </w:rPr>
        <w:t xml:space="preserve"> </w:t>
      </w:r>
      <w:r>
        <w:rPr>
          <w:rFonts w:eastAsia="Segoe UI"/>
          <w:lang w:val="ru-RU"/>
        </w:rPr>
        <w:t>2) ключевого интермедиата 2-</w:t>
      </w:r>
      <w:r>
        <w:rPr>
          <w:bCs/>
          <w:lang w:val="ru-RU"/>
        </w:rPr>
        <w:t xml:space="preserve">(4-бром-3-(3-хлор-5-цианофенокси)-2-фторфенил)уксусной кислоты </w:t>
      </w:r>
      <w:r>
        <w:rPr>
          <w:rFonts w:eastAsia="Segoe UI"/>
          <w:lang w:val="ru-RU"/>
        </w:rPr>
        <w:t>(</w:t>
      </w:r>
      <w:r>
        <w:rPr>
          <w:rFonts w:eastAsia="Segoe UI"/>
          <w:b/>
          <w:lang w:val="ru-RU"/>
        </w:rPr>
        <w:t>11</w:t>
      </w:r>
      <w:r>
        <w:rPr>
          <w:rFonts w:eastAsia="Segoe UI"/>
          <w:lang w:val="ru-RU"/>
        </w:rPr>
        <w:t xml:space="preserve">) </w:t>
      </w:r>
      <w:r>
        <w:rPr>
          <w:rFonts w:hint="default" w:eastAsia="Segoe UI"/>
          <w:lang w:val="en-US"/>
        </w:rPr>
        <w:t>[2]</w:t>
      </w:r>
      <w:r>
        <w:rPr>
          <w:rFonts w:hint="default" w:eastAsia="Segoe UI"/>
          <w:lang w:val="ru-RU"/>
        </w:rPr>
        <w:t xml:space="preserve"> </w:t>
      </w:r>
      <w:r>
        <w:rPr>
          <w:rFonts w:eastAsia="Segoe UI"/>
          <w:lang w:val="ru-RU"/>
        </w:rPr>
        <w:t>в процессе производства элсуль</w:t>
      </w:r>
      <w:r>
        <w:rPr>
          <w:rFonts w:hint="default" w:ascii="Times New Roman" w:hAnsi="Times New Roman" w:eastAsia="Segoe UI" w:cs="Times New Roman"/>
          <w:lang w:val="ru-RU"/>
        </w:rPr>
        <w:t xml:space="preserve">фаверина, позволяющий увеличить в конечном итоге качество целевого продукта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и сократить продолжительность технологического процесса по сравнению с существующими методиками.</w:t>
      </w:r>
    </w:p>
    <w:p w14:paraId="129DAF0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</w:pPr>
      <w:r>
        <w:drawing>
          <wp:inline distT="0" distB="0" distL="114300" distR="114300">
            <wp:extent cx="5865495" cy="1249045"/>
            <wp:effectExtent l="0" t="0" r="1905" b="8255"/>
            <wp:docPr id="2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rcRect l="6896" t="42939" r="5428" b="30655"/>
                    <a:stretch>
                      <a:fillRect/>
                    </a:stretch>
                  </pic:blipFill>
                  <pic:spPr>
                    <a:xfrm>
                      <a:off x="0" y="0"/>
                      <a:ext cx="5865495" cy="1249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ADA2200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166" w:firstLineChars="69"/>
        <w:jc w:val="center"/>
        <w:textAlignment w:val="auto"/>
        <w:rPr>
          <w:lang w:val="ru-RU"/>
        </w:rPr>
      </w:pPr>
      <w:r>
        <w:rPr>
          <w:b/>
          <w:lang w:val="ru-RU"/>
        </w:rPr>
        <w:t>Рисунок 2</w:t>
      </w:r>
      <w:r>
        <w:rPr>
          <w:lang w:val="ru-RU"/>
        </w:rPr>
        <w:t xml:space="preserve"> Схема синтеза интермедиата </w:t>
      </w:r>
      <w:r>
        <w:rPr>
          <w:b/>
          <w:lang w:val="ru-RU"/>
        </w:rPr>
        <w:t>11</w:t>
      </w:r>
    </w:p>
    <w:p w14:paraId="6D4DD0E4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165" w:firstLineChars="69"/>
        <w:jc w:val="both"/>
        <w:textAlignment w:val="auto"/>
        <w:rPr>
          <w:rFonts w:eastAsia="Segoe UI"/>
          <w:lang w:val="ru-RU"/>
        </w:rPr>
      </w:pPr>
      <w:r>
        <w:rPr>
          <w:rFonts w:eastAsia="Segoe UI"/>
          <w:lang w:val="ru-RU"/>
        </w:rPr>
        <w:t xml:space="preserve">Было установлено, что десятикратное увеличение загрузок в лабораторных реакторах не приводит к изменению профиля примесей и выходов реакций, что делает эту схему пригодной для дальнейшего масштабирования. </w:t>
      </w:r>
      <w:r>
        <w:rPr>
          <w:rFonts w:eastAsia="Segoe UI"/>
        </w:rPr>
        <w:t> </w:t>
      </w:r>
      <w:r>
        <w:rPr>
          <w:rFonts w:eastAsia="Segoe UI"/>
          <w:lang w:val="ru-RU"/>
        </w:rPr>
        <w:t>В докладе детализируются регеоселективные особенности реагентов, технологические аспекты, а также прогнозы интеграции в полупромышленный синтез.</w:t>
      </w:r>
    </w:p>
    <w:p w14:paraId="461427FC">
      <w:pPr>
        <w:pStyle w:val="9"/>
        <w:spacing w:beforeAutospacing="0" w:afterAutospacing="0"/>
        <w:jc w:val="center"/>
        <w:rPr>
          <w:rFonts w:eastAsia="Segoe UI"/>
          <w:b/>
          <w:bCs/>
          <w:lang w:val="ru-RU"/>
        </w:rPr>
      </w:pPr>
      <w:r>
        <w:rPr>
          <w:rFonts w:eastAsia="Segoe UI"/>
          <w:b/>
          <w:bCs/>
          <w:lang w:val="ru-RU"/>
        </w:rPr>
        <w:t>Литература</w:t>
      </w:r>
    </w:p>
    <w:p w14:paraId="64DEE342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16" w:lineRule="auto"/>
        <w:jc w:val="both"/>
        <w:textAlignment w:val="auto"/>
        <w:rPr>
          <w:rFonts w:eastAsia="Segoe UI"/>
          <w:b w:val="0"/>
          <w:bCs w:val="0"/>
          <w:lang w:val="ru-RU"/>
        </w:rPr>
      </w:pPr>
      <w:r>
        <w:rPr>
          <w:rFonts w:hint="default" w:eastAsia="Segoe UI"/>
          <w:b w:val="0"/>
          <w:bCs w:val="0"/>
          <w:lang w:val="ru-RU"/>
        </w:rPr>
        <w:t xml:space="preserve">Sweeney, Z. K., Harris, S. F., Arora, N., Javanbakht, H., Li, Y., Fretland, J., Klumpp, K. </w:t>
      </w:r>
      <w:bookmarkStart w:id="0" w:name="_GoBack"/>
      <w:bookmarkEnd w:id="0"/>
      <w:r>
        <w:rPr>
          <w:rFonts w:hint="default" w:eastAsia="Segoe UI"/>
          <w:b w:val="0"/>
          <w:bCs w:val="0"/>
          <w:lang w:val="ru-RU"/>
        </w:rPr>
        <w:t>Design of Annulated Pyrazoles as Inhibitors of HIV-1 Reverse Transcriptase//J. Med. Chem. – 2008. – Vol. 51, P: 7449-7458.</w:t>
      </w:r>
    </w:p>
    <w:p w14:paraId="43C38CEE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16" w:lineRule="auto"/>
        <w:ind w:left="0" w:leftChars="0" w:firstLine="0" w:firstLineChars="0"/>
        <w:jc w:val="both"/>
        <w:textAlignment w:val="auto"/>
        <w:rPr>
          <w:lang w:val="ru-RU"/>
        </w:rPr>
      </w:pPr>
      <w:r>
        <w:rPr>
          <w:rFonts w:eastAsia="Segoe UI"/>
          <w:lang w:val="ru-RU"/>
        </w:rPr>
        <w:t>Ильин А.П., Бабак Н.Л., Константинов И.О., Лавренова А.А. Новые подходы к синтезу 2-(4-бром-3-(3-хлор-5-цианофенокси)-2-фторфенил)уксусной кислоты // Химико фармацевтический журнал. - 2025. - №12. - С. 56-63</w:t>
      </w:r>
      <w:r>
        <w:rPr>
          <w:rFonts w:hint="default" w:eastAsia="Segoe UI"/>
          <w:lang w:val="ru-RU"/>
        </w:rPr>
        <w:t>.</w:t>
      </w:r>
    </w:p>
    <w:sectPr>
      <w:pgSz w:w="11906" w:h="16838"/>
      <w:pgMar w:top="1134" w:right="1361" w:bottom="1134" w:left="1361" w:header="720" w:footer="720" w:gutter="0"/>
      <w:cols w:space="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EAFA61"/>
    <w:multiLevelType w:val="singleLevel"/>
    <w:tmpl w:val="21EAFA6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C6356"/>
    <w:rsid w:val="0011128B"/>
    <w:rsid w:val="00287C35"/>
    <w:rsid w:val="00291D4C"/>
    <w:rsid w:val="00333EE6"/>
    <w:rsid w:val="004B4F54"/>
    <w:rsid w:val="004C4A73"/>
    <w:rsid w:val="00590487"/>
    <w:rsid w:val="00652BE5"/>
    <w:rsid w:val="00717918"/>
    <w:rsid w:val="00750CB6"/>
    <w:rsid w:val="00A42841"/>
    <w:rsid w:val="00AA5A90"/>
    <w:rsid w:val="00AF7DB3"/>
    <w:rsid w:val="00BC1BE6"/>
    <w:rsid w:val="00BD5EBA"/>
    <w:rsid w:val="00BF1561"/>
    <w:rsid w:val="00D4342E"/>
    <w:rsid w:val="00F07CB6"/>
    <w:rsid w:val="00F60799"/>
    <w:rsid w:val="00F755EB"/>
    <w:rsid w:val="00F877E8"/>
    <w:rsid w:val="00FF719F"/>
    <w:rsid w:val="01E90A52"/>
    <w:rsid w:val="03F654C7"/>
    <w:rsid w:val="05944397"/>
    <w:rsid w:val="05D525E9"/>
    <w:rsid w:val="1B4432C9"/>
    <w:rsid w:val="262D659C"/>
    <w:rsid w:val="32BC2912"/>
    <w:rsid w:val="47FB6B14"/>
    <w:rsid w:val="4F902304"/>
    <w:rsid w:val="50E227C6"/>
    <w:rsid w:val="54124B7D"/>
    <w:rsid w:val="54BB1536"/>
    <w:rsid w:val="5D2E7D72"/>
    <w:rsid w:val="71B640D4"/>
    <w:rsid w:val="73F975A6"/>
    <w:rsid w:val="7A0C6356"/>
    <w:rsid w:val="7A3575BF"/>
    <w:rsid w:val="7EA836F3"/>
    <w:rsid w:val="7EE3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/>
    </w:pPr>
    <w:rPr>
      <w:rFonts w:ascii="Times New Roman" w:hAnsi="Times New Roman" w:eastAsiaTheme="minorHAnsi" w:cstheme="minorBidi"/>
      <w:sz w:val="28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qFormat/>
    <w:uiPriority w:val="0"/>
    <w:rPr>
      <w:sz w:val="16"/>
      <w:szCs w:val="16"/>
    </w:rPr>
  </w:style>
  <w:style w:type="character" w:styleId="5">
    <w:name w:val="Strong"/>
    <w:basedOn w:val="2"/>
    <w:qFormat/>
    <w:uiPriority w:val="0"/>
    <w:rPr>
      <w:b/>
      <w:bCs/>
    </w:rPr>
  </w:style>
  <w:style w:type="paragraph" w:styleId="6">
    <w:name w:val="Balloon Text"/>
    <w:basedOn w:val="1"/>
    <w:link w:val="11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12"/>
    <w:qFormat/>
    <w:uiPriority w:val="0"/>
    <w:rPr>
      <w:sz w:val="20"/>
      <w:szCs w:val="20"/>
    </w:rPr>
  </w:style>
  <w:style w:type="paragraph" w:styleId="8">
    <w:name w:val="annotation subject"/>
    <w:basedOn w:val="7"/>
    <w:next w:val="7"/>
    <w:link w:val="13"/>
    <w:qFormat/>
    <w:uiPriority w:val="0"/>
    <w:rPr>
      <w:b/>
      <w:bCs/>
    </w:rPr>
  </w:style>
  <w:style w:type="paragraph" w:styleId="9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customStyle="1" w:styleId="10">
    <w:name w:val="Îáû÷íûé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character" w:customStyle="1" w:styleId="11">
    <w:name w:val="Текст выноски Знак"/>
    <w:basedOn w:val="2"/>
    <w:link w:val="6"/>
    <w:qFormat/>
    <w:uiPriority w:val="0"/>
    <w:rPr>
      <w:rFonts w:ascii="Tahoma" w:hAnsi="Tahoma" w:cs="Tahoma" w:eastAsiaTheme="minorHAnsi"/>
      <w:sz w:val="16"/>
      <w:szCs w:val="16"/>
      <w:lang w:eastAsia="en-US"/>
    </w:rPr>
  </w:style>
  <w:style w:type="character" w:customStyle="1" w:styleId="12">
    <w:name w:val="Текст примечания Знак"/>
    <w:basedOn w:val="2"/>
    <w:link w:val="7"/>
    <w:qFormat/>
    <w:uiPriority w:val="0"/>
    <w:rPr>
      <w:rFonts w:eastAsiaTheme="minorHAnsi" w:cstheme="minorBidi"/>
      <w:lang w:eastAsia="en-US"/>
    </w:rPr>
  </w:style>
  <w:style w:type="character" w:customStyle="1" w:styleId="13">
    <w:name w:val="Тема примечания Знак"/>
    <w:basedOn w:val="12"/>
    <w:link w:val="8"/>
    <w:qFormat/>
    <w:uiPriority w:val="0"/>
    <w:rPr>
      <w:b/>
      <w:bCs/>
    </w:rPr>
  </w:style>
  <w:style w:type="paragraph" w:styleId="14">
    <w:name w:val="List Paragraph"/>
    <w:basedOn w:val="1"/>
    <w:qFormat/>
    <w:uiPriority w:val="34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351</Words>
  <Characters>2004</Characters>
  <Lines>16</Lines>
  <Paragraphs>4</Paragraphs>
  <TotalTime>121</TotalTime>
  <ScaleCrop>false</ScaleCrop>
  <LinksUpToDate>false</LinksUpToDate>
  <CharactersWithSpaces>2351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2026-02-12T11:49:00Z</dcterms:created>
  <dc:creator>Зиборов Дмитрий</dc:creator>
  <cp:lastModifiedBy>Зиборов Дмитрий</cp:lastModifiedBy>
  <dcterms:modified xsi:type="dcterms:W3CDTF">2026-02-24T12:40:34Z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D9CF46F9DD6E40FFAB361AB7F448B2B6_13</vt:lpwstr>
  </property>
</Properties>
</file>