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BC1E6" w14:textId="2428782B" w:rsidR="001B19C9" w:rsidRDefault="001B19C9" w:rsidP="001B1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B19C9">
        <w:rPr>
          <w:b/>
          <w:color w:val="000000"/>
        </w:rPr>
        <w:t xml:space="preserve">Разработка и синтез водорастворимых </w:t>
      </w:r>
      <w:proofErr w:type="spellStart"/>
      <w:r w:rsidRPr="001B19C9">
        <w:rPr>
          <w:b/>
          <w:color w:val="000000"/>
        </w:rPr>
        <w:t>тетракатионных</w:t>
      </w:r>
      <w:proofErr w:type="spellEnd"/>
      <w:r w:rsidRPr="001B19C9">
        <w:rPr>
          <w:b/>
          <w:color w:val="000000"/>
        </w:rPr>
        <w:t xml:space="preserve"> четвертичных аммониевых соединений на основе </w:t>
      </w:r>
      <w:proofErr w:type="spellStart"/>
      <w:r w:rsidRPr="001B19C9">
        <w:rPr>
          <w:b/>
          <w:color w:val="000000"/>
        </w:rPr>
        <w:t>гликолурила</w:t>
      </w:r>
      <w:proofErr w:type="spellEnd"/>
      <w:r w:rsidRPr="001B19C9">
        <w:rPr>
          <w:b/>
          <w:color w:val="000000"/>
        </w:rPr>
        <w:t xml:space="preserve"> и оценка их противомикробной активности</w:t>
      </w:r>
    </w:p>
    <w:p w14:paraId="00000002" w14:textId="0253E349" w:rsidR="00130241" w:rsidRDefault="001B1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B19C9">
        <w:rPr>
          <w:b/>
          <w:i/>
          <w:color w:val="000000"/>
        </w:rPr>
        <w:t>Синикин Е.В.</w:t>
      </w:r>
      <w:r w:rsidRPr="001B19C9">
        <w:rPr>
          <w:b/>
          <w:i/>
          <w:color w:val="000000"/>
          <w:vertAlign w:val="superscript"/>
        </w:rPr>
        <w:t>1,2</w:t>
      </w:r>
      <w:r w:rsidRPr="001B19C9">
        <w:rPr>
          <w:b/>
          <w:i/>
          <w:color w:val="000000"/>
        </w:rPr>
        <w:t xml:space="preserve">, </w:t>
      </w:r>
      <w:proofErr w:type="spellStart"/>
      <w:r w:rsidRPr="001B19C9">
        <w:rPr>
          <w:b/>
          <w:i/>
          <w:color w:val="000000"/>
        </w:rPr>
        <w:t>Сеферян</w:t>
      </w:r>
      <w:proofErr w:type="spellEnd"/>
      <w:r w:rsidRPr="001B19C9">
        <w:rPr>
          <w:b/>
          <w:i/>
          <w:color w:val="000000"/>
        </w:rPr>
        <w:t xml:space="preserve"> М.А.</w:t>
      </w:r>
      <w:r w:rsidRPr="001B19C9">
        <w:rPr>
          <w:b/>
          <w:i/>
          <w:color w:val="000000"/>
          <w:vertAlign w:val="superscript"/>
        </w:rPr>
        <w:t>1</w:t>
      </w:r>
      <w:r w:rsidRPr="001B19C9">
        <w:rPr>
          <w:b/>
          <w:i/>
          <w:color w:val="000000"/>
        </w:rPr>
        <w:t>, Валеев А.Б.</w:t>
      </w:r>
      <w:r w:rsidRPr="001B19C9">
        <w:rPr>
          <w:b/>
          <w:i/>
          <w:color w:val="000000"/>
          <w:vertAlign w:val="superscript"/>
        </w:rPr>
        <w:t>1,2</w:t>
      </w:r>
      <w:r w:rsidRPr="001B19C9">
        <w:rPr>
          <w:b/>
          <w:i/>
          <w:color w:val="000000"/>
        </w:rPr>
        <w:t>, Фролов Н.А.</w:t>
      </w:r>
      <w:r w:rsidRPr="001B19C9">
        <w:rPr>
          <w:b/>
          <w:i/>
          <w:color w:val="000000"/>
          <w:vertAlign w:val="superscript"/>
        </w:rPr>
        <w:t>1</w:t>
      </w:r>
      <w:r w:rsidRPr="001B19C9">
        <w:rPr>
          <w:b/>
          <w:i/>
          <w:color w:val="000000"/>
        </w:rPr>
        <w:t>, Детушева Е.В.</w:t>
      </w:r>
      <w:r w:rsidRPr="001B19C9">
        <w:rPr>
          <w:b/>
          <w:i/>
          <w:color w:val="000000"/>
          <w:vertAlign w:val="superscript"/>
        </w:rPr>
        <w:t>1,3</w:t>
      </w:r>
      <w:r w:rsidRPr="001B19C9">
        <w:rPr>
          <w:b/>
          <w:i/>
          <w:color w:val="000000"/>
        </w:rPr>
        <w:t>, Верещагин А.Н.</w:t>
      </w:r>
      <w:r w:rsidRPr="001B19C9">
        <w:rPr>
          <w:b/>
          <w:i/>
          <w:color w:val="000000"/>
          <w:vertAlign w:val="superscript"/>
        </w:rPr>
        <w:t>1</w:t>
      </w:r>
    </w:p>
    <w:p w14:paraId="00000003" w14:textId="1CE410C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1B19C9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4B240317" w14:textId="77777777" w:rsidR="001B19C9" w:rsidRPr="001B19C9" w:rsidRDefault="001B19C9" w:rsidP="001B19C9">
      <w:pPr>
        <w:widowControl w:val="0"/>
        <w:autoSpaceDE w:val="0"/>
        <w:autoSpaceDN w:val="0"/>
        <w:ind w:left="346" w:right="346" w:hanging="9"/>
        <w:jc w:val="center"/>
        <w:rPr>
          <w:i/>
          <w:szCs w:val="22"/>
          <w:lang w:eastAsia="en-US"/>
        </w:rPr>
      </w:pPr>
      <w:r w:rsidRPr="001B19C9">
        <w:rPr>
          <w:i/>
          <w:szCs w:val="22"/>
          <w:vertAlign w:val="superscript"/>
          <w:lang w:eastAsia="en-US"/>
        </w:rPr>
        <w:t>1</w:t>
      </w:r>
      <w:r w:rsidRPr="001B19C9">
        <w:rPr>
          <w:i/>
          <w:szCs w:val="22"/>
          <w:lang w:eastAsia="en-US"/>
        </w:rPr>
        <w:t>Институт</w:t>
      </w:r>
      <w:r w:rsidRPr="001B19C9">
        <w:rPr>
          <w:i/>
          <w:spacing w:val="-5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органической химии</w:t>
      </w:r>
      <w:r w:rsidRPr="001B19C9">
        <w:rPr>
          <w:i/>
          <w:spacing w:val="-3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им.</w:t>
      </w:r>
      <w:r w:rsidRPr="001B19C9">
        <w:rPr>
          <w:i/>
          <w:spacing w:val="-3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Н.Д.</w:t>
      </w:r>
      <w:r w:rsidRPr="001B19C9">
        <w:rPr>
          <w:i/>
          <w:spacing w:val="-3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Зелинского</w:t>
      </w:r>
      <w:r w:rsidRPr="001B19C9">
        <w:rPr>
          <w:i/>
          <w:spacing w:val="-3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Российской</w:t>
      </w:r>
      <w:r w:rsidRPr="001B19C9">
        <w:rPr>
          <w:i/>
          <w:spacing w:val="-3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Академии</w:t>
      </w:r>
      <w:r w:rsidRPr="001B19C9">
        <w:rPr>
          <w:i/>
          <w:spacing w:val="-3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Наук, Ленинский пр-т,</w:t>
      </w:r>
      <w:r w:rsidRPr="001B19C9">
        <w:rPr>
          <w:i/>
          <w:spacing w:val="-5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д.</w:t>
      </w:r>
      <w:r w:rsidRPr="001B19C9">
        <w:rPr>
          <w:i/>
          <w:spacing w:val="-5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47,</w:t>
      </w:r>
      <w:r w:rsidRPr="001B19C9">
        <w:rPr>
          <w:i/>
          <w:spacing w:val="-5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г.</w:t>
      </w:r>
      <w:r w:rsidRPr="001B19C9">
        <w:rPr>
          <w:i/>
          <w:spacing w:val="-5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Москва,</w:t>
      </w:r>
      <w:r w:rsidRPr="001B19C9">
        <w:rPr>
          <w:i/>
          <w:spacing w:val="-4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119991,</w:t>
      </w:r>
      <w:r w:rsidRPr="001B19C9">
        <w:rPr>
          <w:i/>
          <w:spacing w:val="-5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Российская</w:t>
      </w:r>
      <w:r w:rsidRPr="001B19C9">
        <w:rPr>
          <w:i/>
          <w:spacing w:val="-5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Федерация;</w:t>
      </w:r>
    </w:p>
    <w:p w14:paraId="3F975E53" w14:textId="77777777" w:rsidR="001B19C9" w:rsidRPr="001B19C9" w:rsidRDefault="001B19C9" w:rsidP="001B19C9">
      <w:pPr>
        <w:widowControl w:val="0"/>
        <w:autoSpaceDE w:val="0"/>
        <w:autoSpaceDN w:val="0"/>
        <w:ind w:left="346" w:right="346" w:hanging="9"/>
        <w:jc w:val="center"/>
        <w:rPr>
          <w:i/>
          <w:szCs w:val="22"/>
          <w:lang w:eastAsia="en-US"/>
        </w:rPr>
      </w:pPr>
      <w:r w:rsidRPr="001B19C9">
        <w:rPr>
          <w:i/>
          <w:spacing w:val="-5"/>
          <w:szCs w:val="22"/>
          <w:lang w:eastAsia="en-US"/>
        </w:rPr>
        <w:t xml:space="preserve"> </w:t>
      </w:r>
      <w:r w:rsidRPr="001B19C9">
        <w:rPr>
          <w:i/>
          <w:szCs w:val="22"/>
          <w:vertAlign w:val="superscript"/>
          <w:lang w:eastAsia="en-US"/>
        </w:rPr>
        <w:t>2</w:t>
      </w:r>
      <w:r w:rsidRPr="001B19C9">
        <w:rPr>
          <w:i/>
          <w:szCs w:val="22"/>
          <w:lang w:eastAsia="en-US"/>
        </w:rPr>
        <w:t>Российский</w:t>
      </w:r>
      <w:r w:rsidRPr="001B19C9">
        <w:rPr>
          <w:i/>
          <w:spacing w:val="-5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 xml:space="preserve">химико-технологический университет имени Д.И. Менделеева, пл. </w:t>
      </w:r>
      <w:proofErr w:type="spellStart"/>
      <w:r w:rsidRPr="001B19C9">
        <w:rPr>
          <w:i/>
          <w:szCs w:val="22"/>
          <w:lang w:eastAsia="en-US"/>
        </w:rPr>
        <w:t>Миусская</w:t>
      </w:r>
      <w:proofErr w:type="spellEnd"/>
      <w:r w:rsidRPr="001B19C9">
        <w:rPr>
          <w:i/>
          <w:szCs w:val="22"/>
          <w:lang w:eastAsia="en-US"/>
        </w:rPr>
        <w:t>, д. 9, г. Москва, 125047, Российская Федерация;</w:t>
      </w:r>
    </w:p>
    <w:p w14:paraId="2D0A6F3E" w14:textId="77777777" w:rsidR="001B19C9" w:rsidRPr="001B19C9" w:rsidRDefault="001B19C9" w:rsidP="001B19C9">
      <w:pPr>
        <w:widowControl w:val="0"/>
        <w:autoSpaceDE w:val="0"/>
        <w:autoSpaceDN w:val="0"/>
        <w:ind w:left="346" w:right="346" w:hanging="9"/>
        <w:jc w:val="center"/>
        <w:rPr>
          <w:i/>
          <w:szCs w:val="22"/>
          <w:lang w:eastAsia="en-US"/>
        </w:rPr>
      </w:pPr>
      <w:r w:rsidRPr="001B19C9">
        <w:rPr>
          <w:i/>
          <w:spacing w:val="-4"/>
          <w:szCs w:val="22"/>
          <w:lang w:eastAsia="en-US"/>
        </w:rPr>
        <w:t xml:space="preserve"> </w:t>
      </w:r>
      <w:r w:rsidRPr="001B19C9">
        <w:rPr>
          <w:i/>
          <w:szCs w:val="22"/>
          <w:vertAlign w:val="superscript"/>
          <w:lang w:eastAsia="en-US"/>
        </w:rPr>
        <w:t>3</w:t>
      </w:r>
      <w:r w:rsidRPr="001B19C9">
        <w:rPr>
          <w:i/>
          <w:szCs w:val="22"/>
          <w:lang w:eastAsia="en-US"/>
        </w:rPr>
        <w:t>Государственный</w:t>
      </w:r>
      <w:r w:rsidRPr="001B19C9">
        <w:rPr>
          <w:i/>
          <w:spacing w:val="-2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научный</w:t>
      </w:r>
      <w:r w:rsidRPr="001B19C9">
        <w:rPr>
          <w:i/>
          <w:spacing w:val="-2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центр</w:t>
      </w:r>
      <w:r w:rsidRPr="001B19C9">
        <w:rPr>
          <w:i/>
          <w:spacing w:val="-2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прикладной</w:t>
      </w:r>
      <w:r w:rsidRPr="001B19C9">
        <w:rPr>
          <w:i/>
          <w:spacing w:val="-2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микробиологии</w:t>
      </w:r>
      <w:r w:rsidRPr="001B19C9">
        <w:rPr>
          <w:i/>
          <w:spacing w:val="-2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и</w:t>
      </w:r>
      <w:r w:rsidRPr="001B19C9">
        <w:rPr>
          <w:i/>
          <w:spacing w:val="-2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 xml:space="preserve">биотехнологии, территория «Квартал А», д. 24, п. Оболенск, </w:t>
      </w:r>
      <w:proofErr w:type="spellStart"/>
      <w:r w:rsidRPr="001B19C9">
        <w:rPr>
          <w:i/>
          <w:szCs w:val="22"/>
          <w:lang w:eastAsia="en-US"/>
        </w:rPr>
        <w:t>г.о</w:t>
      </w:r>
      <w:proofErr w:type="spellEnd"/>
      <w:r w:rsidRPr="001B19C9">
        <w:rPr>
          <w:i/>
          <w:szCs w:val="22"/>
          <w:lang w:eastAsia="en-US"/>
        </w:rPr>
        <w:t>. Серпухов, Московская обл., 142279, Российская</w:t>
      </w:r>
      <w:r w:rsidRPr="001B19C9">
        <w:rPr>
          <w:i/>
          <w:spacing w:val="-9"/>
          <w:szCs w:val="22"/>
          <w:lang w:eastAsia="en-US"/>
        </w:rPr>
        <w:t xml:space="preserve"> </w:t>
      </w:r>
      <w:r w:rsidRPr="001B19C9">
        <w:rPr>
          <w:i/>
          <w:szCs w:val="22"/>
          <w:lang w:eastAsia="en-US"/>
        </w:rPr>
        <w:t>Федерация.</w:t>
      </w:r>
    </w:p>
    <w:p w14:paraId="00000008" w14:textId="4A608F11" w:rsidR="00130241" w:rsidRPr="001B19C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proofErr w:type="spellStart"/>
      <w:r w:rsidRPr="001B19C9">
        <w:rPr>
          <w:i/>
          <w:color w:val="000000"/>
          <w:lang w:val="de-DE"/>
        </w:rPr>
        <w:t>E</w:t>
      </w:r>
      <w:r w:rsidR="003B76D6" w:rsidRPr="001B19C9">
        <w:rPr>
          <w:i/>
          <w:color w:val="000000"/>
          <w:lang w:val="de-DE"/>
        </w:rPr>
        <w:t>-</w:t>
      </w:r>
      <w:r w:rsidRPr="001B19C9">
        <w:rPr>
          <w:i/>
          <w:color w:val="000000"/>
          <w:lang w:val="de-DE"/>
        </w:rPr>
        <w:t>mail</w:t>
      </w:r>
      <w:proofErr w:type="spellEnd"/>
      <w:r w:rsidRPr="001B19C9">
        <w:rPr>
          <w:i/>
          <w:color w:val="000000"/>
          <w:lang w:val="de-DE"/>
        </w:rPr>
        <w:t xml:space="preserve">: </w:t>
      </w:r>
      <w:r w:rsidR="001B19C9">
        <w:rPr>
          <w:i/>
          <w:color w:val="000000"/>
          <w:u w:val="single"/>
          <w:lang w:val="de-DE"/>
        </w:rPr>
        <w:t>e</w:t>
      </w:r>
      <w:r w:rsidR="001B19C9" w:rsidRPr="001B19C9">
        <w:rPr>
          <w:i/>
          <w:color w:val="000000"/>
          <w:u w:val="single"/>
          <w:lang w:val="de-DE"/>
        </w:rPr>
        <w:t>.sinikin1@g</w:t>
      </w:r>
      <w:r w:rsidR="001B19C9">
        <w:rPr>
          <w:i/>
          <w:color w:val="000000"/>
          <w:u w:val="single"/>
          <w:lang w:val="de-DE"/>
        </w:rPr>
        <w:t>mail.com</w:t>
      </w:r>
    </w:p>
    <w:p w14:paraId="2A41C52F" w14:textId="77777777" w:rsidR="00BD4A29" w:rsidRDefault="00BD4A29" w:rsidP="001B1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D4A29">
        <w:rPr>
          <w:color w:val="000000"/>
        </w:rPr>
        <w:t>В последние десятилетия проблема бактериальной резистентности приобрела масштаб глобального вызова для системы здравоохранения. Широкое и длительное применение традиционных антисептиков и дезинфицирующих средств способствует формированию адаптационных механизмов у патогенных микроорганизмов, что приводит к снижению их чувствительности и уменьшению эффективности терапии инфекционных заболеваний.</w:t>
      </w:r>
    </w:p>
    <w:p w14:paraId="40FD55FF" w14:textId="7D2908C1" w:rsidR="00BD4A29" w:rsidRDefault="00BD4A29" w:rsidP="001B1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F665131" wp14:editId="272C24FA">
            <wp:simplePos x="0" y="0"/>
            <wp:positionH relativeFrom="column">
              <wp:posOffset>-16687</wp:posOffset>
            </wp:positionH>
            <wp:positionV relativeFrom="paragraph">
              <wp:posOffset>2314910</wp:posOffset>
            </wp:positionV>
            <wp:extent cx="5891530" cy="1798955"/>
            <wp:effectExtent l="0" t="0" r="1270" b="4445"/>
            <wp:wrapTopAndBottom/>
            <wp:docPr id="7606066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06603" name="Рисунок 7606066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53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29">
        <w:rPr>
          <w:color w:val="000000"/>
        </w:rPr>
        <w:t>Четвертичные аммониевые соединения (ЧАС) представляют собой широко распространённый класс антимикробных препаратов. Эти катионные поверхностно-активные вещества нарушают целостность бактериальной мембраны, приводя к лизису клеток. Согласно литературным данным, увеличение числа катионных центров сопровождается усилением биоцидной активности [1]. Поскольку водные формы применения считаются более безопасными для человека по сравнению со спиртосодержащими, растворимость в воде является ключевым критерием при оценке перспективности новых катионных ПАВ для медицинских и бытовых целей.</w:t>
      </w:r>
      <w:r w:rsidRPr="00BD4A29">
        <w:t xml:space="preserve"> </w:t>
      </w:r>
    </w:p>
    <w:p w14:paraId="35886DEE" w14:textId="494396CF" w:rsidR="001B19C9" w:rsidRDefault="00BD4A29" w:rsidP="001B1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D4A29">
        <w:rPr>
          <w:noProof/>
          <w:color w:val="000000"/>
        </w:rPr>
        <w:t>В данном исследовании разработан метод синтеза новых тетракатионных мульти-ЧАС на основе гликолурилового линкера. Было синтезировано 11 новых соединений (в несколько стадий получен линкер и 7 новых солей), которые протестированы на различных бактериальных и грибковых патогенах. Кроме того, внедрение атомов кислорода позволило повысить растворимость соединений в воде.</w:t>
      </w:r>
    </w:p>
    <w:p w14:paraId="362C74B0" w14:textId="2769BD25" w:rsidR="001B19C9" w:rsidRPr="0009449A" w:rsidRDefault="001B19C9" w:rsidP="001B1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B19C9">
        <w:rPr>
          <w:i/>
          <w:iCs/>
          <w:color w:val="000000"/>
        </w:rPr>
        <w:t>Работа выполнена при финансовой поддержке Российского научного фонда (проект № 24- 13-00307).</w:t>
      </w:r>
    </w:p>
    <w:p w14:paraId="0000000E" w14:textId="02BDA72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245B4479" w:rsidR="00116478" w:rsidRPr="00107AA3" w:rsidRDefault="001B19C9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13BAA">
        <w:rPr>
          <w:color w:val="000000"/>
        </w:rPr>
        <w:t xml:space="preserve">1. </w:t>
      </w:r>
      <w:proofErr w:type="spellStart"/>
      <w:r w:rsidRPr="001B19C9">
        <w:rPr>
          <w:color w:val="000000"/>
          <w:lang w:val="en-US"/>
        </w:rPr>
        <w:t>Frolov</w:t>
      </w:r>
      <w:proofErr w:type="spellEnd"/>
      <w:r w:rsidRPr="00E13BAA">
        <w:rPr>
          <w:color w:val="000000"/>
        </w:rPr>
        <w:t xml:space="preserve"> </w:t>
      </w:r>
      <w:r w:rsidRPr="001B19C9">
        <w:rPr>
          <w:color w:val="000000"/>
          <w:lang w:val="en-US"/>
        </w:rPr>
        <w:t>N</w:t>
      </w:r>
      <w:r w:rsidRPr="00E13BAA">
        <w:rPr>
          <w:color w:val="000000"/>
        </w:rPr>
        <w:t xml:space="preserve">. </w:t>
      </w:r>
      <w:r w:rsidRPr="001B19C9">
        <w:rPr>
          <w:color w:val="000000"/>
          <w:lang w:val="en-US"/>
        </w:rPr>
        <w:t>A</w:t>
      </w:r>
      <w:r w:rsidRPr="00E13BAA">
        <w:rPr>
          <w:color w:val="000000"/>
        </w:rPr>
        <w:t xml:space="preserve">. </w:t>
      </w:r>
      <w:r w:rsidRPr="001B19C9">
        <w:rPr>
          <w:color w:val="000000"/>
          <w:lang w:val="en-US"/>
        </w:rPr>
        <w:t>et</w:t>
      </w:r>
      <w:r w:rsidRPr="00E13BAA">
        <w:rPr>
          <w:color w:val="000000"/>
        </w:rPr>
        <w:t xml:space="preserve"> </w:t>
      </w:r>
      <w:r w:rsidRPr="001B19C9">
        <w:rPr>
          <w:color w:val="000000"/>
          <w:lang w:val="en-US"/>
        </w:rPr>
        <w:t>al</w:t>
      </w:r>
      <w:r w:rsidRPr="00E13BAA">
        <w:rPr>
          <w:color w:val="000000"/>
        </w:rPr>
        <w:t xml:space="preserve">. </w:t>
      </w:r>
      <w:r w:rsidRPr="001B19C9">
        <w:rPr>
          <w:color w:val="000000"/>
          <w:lang w:val="en-US"/>
        </w:rPr>
        <w:t xml:space="preserve">The Antimicrobial and Antibiofilm Potential of New Water-Soluble Tris- Quaternary Ammonium Compounds //International Journal of Molecular Sciences. – 2023. – </w:t>
      </w:r>
      <w:r w:rsidRPr="001B19C9">
        <w:rPr>
          <w:color w:val="000000"/>
        </w:rPr>
        <w:t>Т</w:t>
      </w:r>
      <w:r w:rsidRPr="001B19C9">
        <w:rPr>
          <w:color w:val="000000"/>
          <w:lang w:val="en-US"/>
        </w:rPr>
        <w:t xml:space="preserve">. 24. – №. </w:t>
      </w:r>
      <w:r w:rsidRPr="001B19C9">
        <w:rPr>
          <w:color w:val="000000"/>
        </w:rPr>
        <w:t>13. – С. 10512.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B19C9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D4A29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13BAA"/>
    <w:rsid w:val="00E22189"/>
    <w:rsid w:val="00E62E21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1B19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Егор Синикин</cp:lastModifiedBy>
  <cp:revision>5</cp:revision>
  <cp:lastPrinted>2026-01-28T14:24:00Z</cp:lastPrinted>
  <dcterms:created xsi:type="dcterms:W3CDTF">2026-03-02T19:06:00Z</dcterms:created>
  <dcterms:modified xsi:type="dcterms:W3CDTF">2026-03-02T20:17:00Z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