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95" w:rsidRPr="00DB2FA7" w:rsidRDefault="00D37B95" w:rsidP="00D37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нового флуоресцентного </w:t>
      </w:r>
      <w:proofErr w:type="spellStart"/>
      <w:r>
        <w:rPr>
          <w:b/>
          <w:color w:val="000000"/>
        </w:rPr>
        <w:t>бисфосфоната</w:t>
      </w:r>
      <w:proofErr w:type="spellEnd"/>
      <w:r>
        <w:rPr>
          <w:b/>
          <w:color w:val="000000"/>
        </w:rPr>
        <w:t xml:space="preserve"> для создания модельной </w:t>
      </w:r>
      <w:proofErr w:type="spellStart"/>
      <w:r>
        <w:rPr>
          <w:b/>
          <w:color w:val="000000"/>
        </w:rPr>
        <w:t>остеотропной</w:t>
      </w:r>
      <w:proofErr w:type="spellEnd"/>
      <w:r>
        <w:rPr>
          <w:b/>
          <w:color w:val="000000"/>
        </w:rPr>
        <w:t xml:space="preserve"> системы адресной доставки на основе </w:t>
      </w:r>
      <w:r>
        <w:rPr>
          <w:b/>
          <w:color w:val="000000"/>
          <w:lang w:val="en-US"/>
        </w:rPr>
        <w:t>PLGA</w:t>
      </w:r>
    </w:p>
    <w:p w:rsidR="00D37B95" w:rsidRDefault="00D37B95" w:rsidP="00D37B95">
      <w:pPr>
        <w:jc w:val="center"/>
        <w:rPr>
          <w:color w:val="000000" w:themeColor="text1"/>
        </w:rPr>
      </w:pPr>
      <w:r>
        <w:rPr>
          <w:b/>
          <w:i/>
          <w:color w:val="000000" w:themeColor="text1"/>
        </w:rPr>
        <w:t>Барабанщиков И. В., Струкова В. А., Юрьев Д. Ю., Ткаченко С. В., Ощепков М. С.</w:t>
      </w:r>
    </w:p>
    <w:p w:rsidR="00D37B95" w:rsidRDefault="00D37B95" w:rsidP="00D37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D37B95" w:rsidRPr="000E334E" w:rsidRDefault="00D37B95" w:rsidP="00D37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 w:themeColor="text1"/>
        </w:rPr>
        <w:t>Российский химико-технологический университет им. Д. И. Менделеева,</w:t>
      </w:r>
      <w:r>
        <w:rPr>
          <w:i/>
          <w:color w:val="000000" w:themeColor="text1"/>
        </w:rPr>
        <w:br/>
        <w:t>факультет химико-фармацевтических технологий и биомедицинских препаратов, Москва, Россия</w:t>
      </w:r>
    </w:p>
    <w:p w:rsidR="00D37B95" w:rsidRPr="0072761A" w:rsidRDefault="00D37B95" w:rsidP="00D37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 w:themeColor="text1"/>
          <w:lang w:val="en-US"/>
        </w:rPr>
        <w:t>E</w:t>
      </w:r>
      <w:r w:rsidRPr="0072761A">
        <w:rPr>
          <w:i/>
          <w:color w:val="000000" w:themeColor="text1"/>
          <w:lang w:val="en-US"/>
        </w:rPr>
        <w:t>-</w:t>
      </w:r>
      <w:r>
        <w:rPr>
          <w:i/>
          <w:color w:val="000000" w:themeColor="text1"/>
          <w:lang w:val="en-US"/>
        </w:rPr>
        <w:t>mail</w:t>
      </w:r>
      <w:r w:rsidRPr="0072761A">
        <w:rPr>
          <w:i/>
          <w:color w:val="000000" w:themeColor="text1"/>
          <w:lang w:val="en-US"/>
        </w:rPr>
        <w:t xml:space="preserve">: </w:t>
      </w:r>
      <w:hyperlink r:id="rId6" w:history="1">
        <w:r>
          <w:rPr>
            <w:rStyle w:val="a4"/>
            <w:i/>
            <w:color w:val="000000" w:themeColor="text1"/>
            <w:lang w:val="en-US"/>
          </w:rPr>
          <w:t>v</w:t>
        </w:r>
        <w:r w:rsidRPr="0072761A">
          <w:rPr>
            <w:rStyle w:val="a4"/>
            <w:i/>
            <w:color w:val="000000" w:themeColor="text1"/>
            <w:lang w:val="en-US"/>
          </w:rPr>
          <w:t>.</w:t>
        </w:r>
        <w:r>
          <w:rPr>
            <w:rStyle w:val="a4"/>
            <w:i/>
            <w:color w:val="000000" w:themeColor="text1"/>
            <w:lang w:val="en-US"/>
          </w:rPr>
          <w:t>temulechek</w:t>
        </w:r>
        <w:r w:rsidRPr="0072761A">
          <w:rPr>
            <w:rStyle w:val="a4"/>
            <w:i/>
            <w:color w:val="000000" w:themeColor="text1"/>
            <w:lang w:val="en-US"/>
          </w:rPr>
          <w:t>@</w:t>
        </w:r>
        <w:r>
          <w:rPr>
            <w:rStyle w:val="a4"/>
            <w:i/>
            <w:color w:val="000000" w:themeColor="text1"/>
            <w:lang w:val="en-US"/>
          </w:rPr>
          <w:t>gmail</w:t>
        </w:r>
        <w:r w:rsidRPr="0072761A">
          <w:rPr>
            <w:rStyle w:val="a4"/>
            <w:i/>
            <w:color w:val="000000" w:themeColor="text1"/>
            <w:lang w:val="en-US"/>
          </w:rPr>
          <w:t>.</w:t>
        </w:r>
        <w:r>
          <w:rPr>
            <w:rStyle w:val="a4"/>
            <w:i/>
            <w:color w:val="000000" w:themeColor="text1"/>
            <w:lang w:val="en-US"/>
          </w:rPr>
          <w:t>com</w:t>
        </w:r>
      </w:hyperlink>
    </w:p>
    <w:p w:rsidR="00D37B95" w:rsidRPr="0072761A" w:rsidRDefault="00D37B95" w:rsidP="00D37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Остеосаркома</w:t>
      </w:r>
      <w:proofErr w:type="spellEnd"/>
      <w:r>
        <w:rPr>
          <w:color w:val="000000"/>
        </w:rPr>
        <w:t xml:space="preserve"> (ОС) – опухоль </w:t>
      </w:r>
      <w:proofErr w:type="spellStart"/>
      <w:r>
        <w:rPr>
          <w:color w:val="000000"/>
        </w:rPr>
        <w:t>мезинхимального</w:t>
      </w:r>
      <w:proofErr w:type="spellEnd"/>
      <w:r>
        <w:rPr>
          <w:color w:val="000000"/>
        </w:rPr>
        <w:t xml:space="preserve"> происхождения, способная выделять </w:t>
      </w:r>
      <w:proofErr w:type="spellStart"/>
      <w:r>
        <w:rPr>
          <w:color w:val="000000"/>
        </w:rPr>
        <w:t>остеоид</w:t>
      </w:r>
      <w:proofErr w:type="spellEnd"/>
      <w:r>
        <w:rPr>
          <w:color w:val="000000"/>
        </w:rPr>
        <w:t xml:space="preserve">, является одной из лидирующих причин смерти </w:t>
      </w:r>
      <w:proofErr w:type="spellStart"/>
      <w:r>
        <w:rPr>
          <w:color w:val="000000"/>
        </w:rPr>
        <w:t>онкобольных</w:t>
      </w:r>
      <w:proofErr w:type="spellEnd"/>
      <w:r>
        <w:rPr>
          <w:color w:val="000000"/>
        </w:rPr>
        <w:t xml:space="preserve"> в возрасте до 19 лет</w:t>
      </w:r>
      <w:r w:rsidRPr="0072761A">
        <w:rPr>
          <w:color w:val="000000"/>
        </w:rPr>
        <w:t xml:space="preserve">. </w:t>
      </w:r>
      <w:r>
        <w:rPr>
          <w:color w:val="000000"/>
        </w:rPr>
        <w:t>Существующие методы терапии зачастую малоэффективны и характеризуются значительными побочными эффектами, поэтому разработка новых подходов к лечению и диагностике ОС являются актуальной задачей современных биомедицинских исследований. Одним из наиболее перспективных направлений является создание систем адресной доставки на основе сополимера молочной и гликолевой кислот (</w:t>
      </w:r>
      <w:r>
        <w:rPr>
          <w:color w:val="000000"/>
          <w:lang w:val="en-US"/>
        </w:rPr>
        <w:t>PLGA</w:t>
      </w:r>
      <w:r>
        <w:rPr>
          <w:color w:val="000000"/>
        </w:rPr>
        <w:t>)</w:t>
      </w:r>
      <w:r w:rsidRPr="0072761A">
        <w:rPr>
          <w:color w:val="000000"/>
        </w:rPr>
        <w:t>.</w:t>
      </w:r>
    </w:p>
    <w:p w:rsidR="00D37B95" w:rsidRPr="0005285F" w:rsidRDefault="00D37B95" w:rsidP="00D37B95">
      <w:pPr>
        <w:pStyle w:val="a5"/>
        <w:ind w:left="28" w:right="23" w:firstLine="398"/>
        <w:contextualSpacing/>
        <w:jc w:val="both"/>
        <w:rPr>
          <w:color w:val="000000" w:themeColor="text1"/>
        </w:rPr>
      </w:pPr>
      <w:r>
        <w:rPr>
          <w:noProof/>
          <w:color w:val="000000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0A1C7953" wp14:editId="016720F3">
            <wp:simplePos x="0" y="0"/>
            <wp:positionH relativeFrom="margin">
              <wp:align>center</wp:align>
            </wp:positionH>
            <wp:positionV relativeFrom="paragraph">
              <wp:posOffset>1937385</wp:posOffset>
            </wp:positionV>
            <wp:extent cx="5039995" cy="2919730"/>
            <wp:effectExtent l="0" t="0" r="825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26_0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В данной работе описано </w:t>
      </w:r>
      <w:r>
        <w:rPr>
          <w:color w:val="000000" w:themeColor="text1"/>
        </w:rPr>
        <w:t xml:space="preserve">получение </w:t>
      </w:r>
      <w:proofErr w:type="gramStart"/>
      <w:r>
        <w:rPr>
          <w:color w:val="000000" w:themeColor="text1"/>
        </w:rPr>
        <w:t>α-</w:t>
      </w:r>
      <w:proofErr w:type="spellStart"/>
      <w:proofErr w:type="gramEnd"/>
      <w:r>
        <w:rPr>
          <w:color w:val="000000" w:themeColor="text1"/>
        </w:rPr>
        <w:t>гидроксибисфосфоната</w:t>
      </w:r>
      <w:proofErr w:type="spellEnd"/>
      <w:r>
        <w:rPr>
          <w:color w:val="000000" w:themeColor="text1"/>
        </w:rPr>
        <w:t xml:space="preserve"> на основе 1,8-нафталимида </w:t>
      </w:r>
      <w:r w:rsidRPr="0072761A">
        <w:rPr>
          <w:b/>
          <w:bCs/>
          <w:color w:val="000000" w:themeColor="text1"/>
        </w:rPr>
        <w:t>5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и его </w:t>
      </w:r>
      <w:proofErr w:type="spellStart"/>
      <w:r>
        <w:rPr>
          <w:color w:val="000000" w:themeColor="text1"/>
        </w:rPr>
        <w:t>коньюгата</w:t>
      </w:r>
      <w:proofErr w:type="spellEnd"/>
      <w:r>
        <w:rPr>
          <w:color w:val="000000" w:themeColor="text1"/>
        </w:rPr>
        <w:t xml:space="preserve"> с </w:t>
      </w:r>
      <w:r>
        <w:rPr>
          <w:color w:val="000000" w:themeColor="text1"/>
          <w:lang w:val="en-US"/>
        </w:rPr>
        <w:t>PLGA</w:t>
      </w:r>
      <w:r w:rsidRPr="0072761A">
        <w:rPr>
          <w:color w:val="000000" w:themeColor="text1"/>
        </w:rPr>
        <w:t xml:space="preserve"> </w:t>
      </w:r>
      <w:r w:rsidRPr="0072761A">
        <w:rPr>
          <w:b/>
          <w:color w:val="000000" w:themeColor="text1"/>
        </w:rPr>
        <w:t>6</w:t>
      </w:r>
      <w:r>
        <w:rPr>
          <w:color w:val="000000" w:themeColor="text1"/>
        </w:rPr>
        <w:t xml:space="preserve">. Введение </w:t>
      </w:r>
      <w:proofErr w:type="spellStart"/>
      <w:r>
        <w:rPr>
          <w:color w:val="000000" w:themeColor="text1"/>
        </w:rPr>
        <w:t>бисфосфонатной</w:t>
      </w:r>
      <w:proofErr w:type="spellEnd"/>
      <w:r>
        <w:rPr>
          <w:color w:val="000000" w:themeColor="text1"/>
        </w:rPr>
        <w:t xml:space="preserve"> группы обуславливает специфичность в отношении костной ткани, а структура 1,8-нафталимида позволяет использовать флуоресцентную микроскопию для изучения распределения </w:t>
      </w:r>
      <w:proofErr w:type="gramStart"/>
      <w:r>
        <w:rPr>
          <w:color w:val="000000" w:themeColor="text1"/>
        </w:rPr>
        <w:t>полученных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наносистем</w:t>
      </w:r>
      <w:proofErr w:type="spellEnd"/>
      <w:r>
        <w:rPr>
          <w:color w:val="000000" w:themeColor="text1"/>
        </w:rPr>
        <w:t xml:space="preserve">. На первом этапе работы был получен 4-(2-гидроксиэтилтио)-1,8-нафталевый ангидрид </w:t>
      </w:r>
      <w:r w:rsidRPr="0072761A">
        <w:rPr>
          <w:b/>
          <w:color w:val="000000" w:themeColor="text1"/>
        </w:rPr>
        <w:t>3</w:t>
      </w:r>
      <w:r>
        <w:rPr>
          <w:color w:val="000000" w:themeColor="text1"/>
        </w:rPr>
        <w:t xml:space="preserve"> по реакции ангидрида </w:t>
      </w:r>
      <w:r w:rsidRPr="0072761A">
        <w:rPr>
          <w:b/>
          <w:bCs/>
          <w:color w:val="000000" w:themeColor="text1"/>
        </w:rPr>
        <w:t>1</w:t>
      </w:r>
      <w:r>
        <w:rPr>
          <w:color w:val="000000" w:themeColor="text1"/>
        </w:rPr>
        <w:t xml:space="preserve"> с </w:t>
      </w:r>
      <w:proofErr w:type="gramStart"/>
      <w:r>
        <w:rPr>
          <w:color w:val="000000" w:themeColor="text1"/>
        </w:rPr>
        <w:t>β-</w:t>
      </w:r>
      <w:proofErr w:type="spellStart"/>
      <w:proofErr w:type="gramEnd"/>
      <w:r>
        <w:rPr>
          <w:color w:val="000000" w:themeColor="text1"/>
        </w:rPr>
        <w:t>меркаптоэтанолом</w:t>
      </w:r>
      <w:proofErr w:type="spellEnd"/>
      <w:r>
        <w:rPr>
          <w:color w:val="000000" w:themeColor="text1"/>
        </w:rPr>
        <w:t xml:space="preserve"> в ДМФА при 135 °</w:t>
      </w:r>
      <w:r>
        <w:rPr>
          <w:color w:val="000000" w:themeColor="text1"/>
          <w:lang w:val="en-US"/>
        </w:rPr>
        <w:t>C</w:t>
      </w:r>
      <w:r>
        <w:rPr>
          <w:color w:val="000000" w:themeColor="text1"/>
        </w:rPr>
        <w:t xml:space="preserve"> в присутствии </w:t>
      </w:r>
      <w:proofErr w:type="spellStart"/>
      <w:r>
        <w:rPr>
          <w:color w:val="000000" w:themeColor="text1"/>
          <w:lang w:val="en-US"/>
        </w:rPr>
        <w:t>NaHCO</w:t>
      </w:r>
      <w:proofErr w:type="spellEnd"/>
      <w:r w:rsidRPr="0072761A">
        <w:rPr>
          <w:color w:val="000000" w:themeColor="text1"/>
          <w:vertAlign w:val="subscript"/>
        </w:rPr>
        <w:t>3</w:t>
      </w:r>
      <w:r w:rsidRPr="0072761A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Дальнейшее </w:t>
      </w:r>
      <w:proofErr w:type="spellStart"/>
      <w:r>
        <w:rPr>
          <w:color w:val="000000" w:themeColor="text1"/>
        </w:rPr>
        <w:t>ацилирование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алендроновой</w:t>
      </w:r>
      <w:proofErr w:type="spellEnd"/>
      <w:r>
        <w:rPr>
          <w:color w:val="000000" w:themeColor="text1"/>
        </w:rPr>
        <w:t xml:space="preserve"> кислоты ангидридом </w:t>
      </w:r>
      <w:r w:rsidRPr="001E64A7">
        <w:rPr>
          <w:b/>
          <w:color w:val="000000" w:themeColor="text1"/>
        </w:rPr>
        <w:t>3</w:t>
      </w:r>
      <w:r>
        <w:rPr>
          <w:color w:val="000000" w:themeColor="text1"/>
        </w:rPr>
        <w:t xml:space="preserve"> в этаноле в присутствие ДМАП и </w:t>
      </w:r>
      <w:proofErr w:type="spellStart"/>
      <w:r>
        <w:rPr>
          <w:color w:val="000000" w:themeColor="text1"/>
        </w:rPr>
        <w:t>триэтиламина</w:t>
      </w:r>
      <w:proofErr w:type="spellEnd"/>
      <w:r>
        <w:rPr>
          <w:color w:val="000000" w:themeColor="text1"/>
        </w:rPr>
        <w:t xml:space="preserve"> позволило получить флуоресцентный </w:t>
      </w:r>
      <w:proofErr w:type="spellStart"/>
      <w:r>
        <w:rPr>
          <w:color w:val="000000" w:themeColor="text1"/>
        </w:rPr>
        <w:t>бисфосфонат</w:t>
      </w:r>
      <w:proofErr w:type="spellEnd"/>
      <w:r>
        <w:rPr>
          <w:color w:val="000000" w:themeColor="text1"/>
        </w:rPr>
        <w:t xml:space="preserve"> </w:t>
      </w:r>
      <w:r w:rsidRPr="001E64A7">
        <w:rPr>
          <w:b/>
          <w:color w:val="000000" w:themeColor="text1"/>
        </w:rPr>
        <w:t>5</w:t>
      </w:r>
      <w:r>
        <w:rPr>
          <w:color w:val="000000" w:themeColor="text1"/>
        </w:rPr>
        <w:t xml:space="preserve"> с выходом 65%. </w:t>
      </w:r>
      <w:bookmarkStart w:id="0" w:name="_GoBack"/>
      <w:bookmarkEnd w:id="0"/>
      <w:proofErr w:type="spellStart"/>
      <w:r>
        <w:rPr>
          <w:color w:val="000000" w:themeColor="text1"/>
        </w:rPr>
        <w:t>Коньюгация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флуорофора</w:t>
      </w:r>
      <w:proofErr w:type="spellEnd"/>
      <w:r>
        <w:rPr>
          <w:color w:val="000000" w:themeColor="text1"/>
        </w:rPr>
        <w:t xml:space="preserve"> </w:t>
      </w:r>
      <w:r w:rsidRPr="001E64A7">
        <w:rPr>
          <w:b/>
          <w:color w:val="000000" w:themeColor="text1"/>
        </w:rPr>
        <w:t>5</w:t>
      </w:r>
      <w:r>
        <w:rPr>
          <w:color w:val="000000" w:themeColor="text1"/>
        </w:rPr>
        <w:t xml:space="preserve"> с </w:t>
      </w:r>
      <w:r>
        <w:rPr>
          <w:color w:val="000000" w:themeColor="text1"/>
          <w:lang w:val="en-US"/>
        </w:rPr>
        <w:t>PLGA</w:t>
      </w:r>
      <w:r w:rsidRPr="0072761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проводилась </w:t>
      </w:r>
      <w:proofErr w:type="spellStart"/>
      <w:r>
        <w:rPr>
          <w:color w:val="000000" w:themeColor="text1"/>
        </w:rPr>
        <w:t>карбодиимидным</w:t>
      </w:r>
      <w:proofErr w:type="spellEnd"/>
      <w:r>
        <w:rPr>
          <w:color w:val="000000" w:themeColor="text1"/>
        </w:rPr>
        <w:t xml:space="preserve"> методом, выход вещества </w:t>
      </w:r>
      <w:r w:rsidRPr="001E64A7">
        <w:rPr>
          <w:b/>
          <w:color w:val="000000" w:themeColor="text1"/>
        </w:rPr>
        <w:t>6</w:t>
      </w:r>
      <w:r>
        <w:rPr>
          <w:color w:val="000000" w:themeColor="text1"/>
        </w:rPr>
        <w:t xml:space="preserve"> по массе 85%.</w:t>
      </w:r>
    </w:p>
    <w:p w:rsidR="00D37B95" w:rsidRPr="0072761A" w:rsidRDefault="00D37B95" w:rsidP="00D37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 w:themeColor="text1"/>
        </w:rPr>
      </w:pPr>
      <w:r>
        <w:rPr>
          <w:color w:val="000000"/>
        </w:rPr>
        <w:t xml:space="preserve">Схема 1. Синтез </w:t>
      </w:r>
      <w:proofErr w:type="gramStart"/>
      <w:r>
        <w:rPr>
          <w:color w:val="000000" w:themeColor="text1"/>
        </w:rPr>
        <w:t>α-</w:t>
      </w:r>
      <w:proofErr w:type="spellStart"/>
      <w:proofErr w:type="gramEnd"/>
      <w:r>
        <w:rPr>
          <w:color w:val="000000" w:themeColor="text1"/>
        </w:rPr>
        <w:t>гидроксибисфосфоната</w:t>
      </w:r>
      <w:proofErr w:type="spellEnd"/>
      <w:r>
        <w:rPr>
          <w:color w:val="000000" w:themeColor="text1"/>
        </w:rPr>
        <w:t xml:space="preserve"> </w:t>
      </w:r>
      <w:r w:rsidRPr="0072761A">
        <w:rPr>
          <w:b/>
          <w:bCs/>
          <w:color w:val="000000" w:themeColor="text1"/>
        </w:rPr>
        <w:t>5</w:t>
      </w:r>
      <w:r>
        <w:rPr>
          <w:color w:val="000000" w:themeColor="text1"/>
        </w:rPr>
        <w:t xml:space="preserve"> и его </w:t>
      </w:r>
      <w:proofErr w:type="spellStart"/>
      <w:r>
        <w:rPr>
          <w:color w:val="000000" w:themeColor="text1"/>
        </w:rPr>
        <w:t>конъюгата</w:t>
      </w:r>
      <w:proofErr w:type="spellEnd"/>
      <w:r>
        <w:rPr>
          <w:color w:val="000000" w:themeColor="text1"/>
        </w:rPr>
        <w:t xml:space="preserve"> с </w:t>
      </w:r>
      <w:r>
        <w:rPr>
          <w:color w:val="000000" w:themeColor="text1"/>
          <w:lang w:val="en-US"/>
        </w:rPr>
        <w:t>PLGA</w:t>
      </w:r>
      <w:r>
        <w:rPr>
          <w:color w:val="000000" w:themeColor="text1"/>
        </w:rPr>
        <w:t xml:space="preserve"> </w:t>
      </w:r>
      <w:r w:rsidRPr="0072761A">
        <w:rPr>
          <w:b/>
          <w:bCs/>
          <w:color w:val="000000" w:themeColor="text1"/>
        </w:rPr>
        <w:t>6</w:t>
      </w:r>
    </w:p>
    <w:p w:rsidR="00D37B95" w:rsidRDefault="00D37B95" w:rsidP="00D37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/>
        </w:rPr>
        <w:t xml:space="preserve">Для вещества </w:t>
      </w:r>
      <w:r w:rsidRPr="0052043A">
        <w:rPr>
          <w:b/>
          <w:color w:val="000000"/>
        </w:rPr>
        <w:t>5</w:t>
      </w:r>
      <w:r>
        <w:rPr>
          <w:color w:val="000000"/>
        </w:rPr>
        <w:t xml:space="preserve"> изучены спектрально-люминесцентные свойства в воде: максимум длины волны поглощения – </w:t>
      </w:r>
      <w:r>
        <w:rPr>
          <w:color w:val="000000" w:themeColor="text1"/>
        </w:rPr>
        <w:t xml:space="preserve">397 </w:t>
      </w:r>
      <w:proofErr w:type="spellStart"/>
      <w:r>
        <w:rPr>
          <w:color w:val="000000" w:themeColor="text1"/>
        </w:rPr>
        <w:t>нм</w:t>
      </w:r>
      <w:proofErr w:type="spellEnd"/>
      <w:r>
        <w:rPr>
          <w:color w:val="000000" w:themeColor="text1"/>
        </w:rPr>
        <w:t xml:space="preserve">, максимум длины волны флуоресценции – 507 </w:t>
      </w:r>
      <w:proofErr w:type="spellStart"/>
      <w:r>
        <w:rPr>
          <w:color w:val="000000" w:themeColor="text1"/>
        </w:rPr>
        <w:t>нм</w:t>
      </w:r>
      <w:proofErr w:type="spellEnd"/>
      <w:r>
        <w:rPr>
          <w:color w:val="000000" w:themeColor="text1"/>
        </w:rPr>
        <w:t xml:space="preserve">. </w:t>
      </w:r>
    </w:p>
    <w:p w:rsidR="00D37B95" w:rsidRPr="008D72A2" w:rsidRDefault="00D37B95" w:rsidP="00D37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 xml:space="preserve">На основе </w:t>
      </w:r>
      <w:proofErr w:type="spellStart"/>
      <w:r>
        <w:rPr>
          <w:color w:val="000000" w:themeColor="text1"/>
        </w:rPr>
        <w:t>конъюгата</w:t>
      </w:r>
      <w:proofErr w:type="spellEnd"/>
      <w:r>
        <w:rPr>
          <w:color w:val="000000" w:themeColor="text1"/>
        </w:rPr>
        <w:t xml:space="preserve"> </w:t>
      </w:r>
      <w:r w:rsidRPr="0052043A">
        <w:rPr>
          <w:b/>
          <w:color w:val="000000" w:themeColor="text1"/>
        </w:rPr>
        <w:t>6</w:t>
      </w:r>
      <w:r>
        <w:rPr>
          <w:color w:val="000000" w:themeColor="text1"/>
        </w:rPr>
        <w:t xml:space="preserve"> методом двойной эмульсии были синтезированы </w:t>
      </w:r>
      <w:r>
        <w:rPr>
          <w:color w:val="000000" w:themeColor="text1"/>
          <w:lang w:val="en-US"/>
        </w:rPr>
        <w:t>PLGA</w:t>
      </w:r>
      <w:r w:rsidRPr="008D72A2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наночастицы</w:t>
      </w:r>
      <w:proofErr w:type="spellEnd"/>
      <w:r>
        <w:rPr>
          <w:color w:val="000000" w:themeColor="text1"/>
        </w:rPr>
        <w:t xml:space="preserve">, загруженные </w:t>
      </w:r>
      <w:proofErr w:type="spellStart"/>
      <w:r>
        <w:rPr>
          <w:color w:val="000000" w:themeColor="text1"/>
        </w:rPr>
        <w:t>доксорубицином</w:t>
      </w:r>
      <w:proofErr w:type="spellEnd"/>
      <w:r w:rsidRPr="008D72A2">
        <w:rPr>
          <w:color w:val="000000" w:themeColor="text1"/>
        </w:rPr>
        <w:t xml:space="preserve"> (</w:t>
      </w:r>
      <w:r w:rsidRPr="008D72A2">
        <w:rPr>
          <w:rFonts w:eastAsia="Calibri"/>
          <w:lang w:val="en-US" w:eastAsia="en-US"/>
        </w:rPr>
        <w:t>d</w:t>
      </w:r>
      <w:r w:rsidRPr="008D72A2">
        <w:rPr>
          <w:rFonts w:eastAsia="Calibri"/>
          <w:vertAlign w:val="subscript"/>
          <w:lang w:eastAsia="en-US"/>
        </w:rPr>
        <w:t xml:space="preserve">ср </w:t>
      </w:r>
      <w:r w:rsidRPr="008D72A2">
        <w:rPr>
          <w:rFonts w:eastAsia="Calibri"/>
          <w:lang w:eastAsia="en-US"/>
        </w:rPr>
        <w:t>=</w:t>
      </w:r>
      <w:r w:rsidRPr="008D72A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D72A2">
        <w:rPr>
          <w:rFonts w:eastAsia="Calibri"/>
          <w:lang w:eastAsia="en-US"/>
        </w:rPr>
        <w:t xml:space="preserve">209,0±0,8 </w:t>
      </w:r>
      <w:proofErr w:type="spellStart"/>
      <w:r w:rsidRPr="008D72A2">
        <w:rPr>
          <w:rFonts w:eastAsia="Calibri"/>
          <w:lang w:eastAsia="en-US"/>
        </w:rPr>
        <w:t>нм</w:t>
      </w:r>
      <w:proofErr w:type="spellEnd"/>
      <w:r w:rsidRPr="008D72A2">
        <w:rPr>
          <w:rFonts w:eastAsia="Calibri"/>
          <w:lang w:eastAsia="en-US"/>
        </w:rPr>
        <w:t xml:space="preserve">, </w:t>
      </w:r>
      <w:r w:rsidRPr="008D72A2">
        <w:rPr>
          <w:rFonts w:eastAsia="Calibri"/>
          <w:iCs/>
          <w:lang w:val="en-US" w:eastAsia="en-US"/>
        </w:rPr>
        <w:t>PDI</w:t>
      </w:r>
      <w:r w:rsidRPr="008D72A2">
        <w:rPr>
          <w:rFonts w:eastAsia="Calibri"/>
          <w:lang w:eastAsia="en-US"/>
        </w:rPr>
        <w:t xml:space="preserve"> = 0,32±0,02 и </w:t>
      </w:r>
      <w:proofErr w:type="gramStart"/>
      <w:r w:rsidRPr="008D72A2">
        <w:rPr>
          <w:rFonts w:eastAsia="Calibri"/>
          <w:lang w:eastAsia="en-US"/>
        </w:rPr>
        <w:t>ζ-</w:t>
      </w:r>
      <w:proofErr w:type="gramEnd"/>
      <w:r w:rsidRPr="008D72A2">
        <w:rPr>
          <w:rFonts w:eastAsia="Calibri"/>
          <w:lang w:eastAsia="en-US"/>
        </w:rPr>
        <w:t>потенциа</w:t>
      </w:r>
      <w:r>
        <w:rPr>
          <w:rFonts w:eastAsia="Calibri"/>
          <w:lang w:eastAsia="en-US"/>
        </w:rPr>
        <w:t xml:space="preserve">л = </w:t>
      </w:r>
      <w:r w:rsidRPr="008D72A2">
        <w:rPr>
          <w:rFonts w:eastAsia="Calibri"/>
          <w:lang w:eastAsia="en-US"/>
        </w:rPr>
        <w:t>5,63±0,41</w:t>
      </w:r>
      <w:r>
        <w:rPr>
          <w:rFonts w:eastAsia="Calibri"/>
          <w:lang w:eastAsia="en-US"/>
        </w:rPr>
        <w:t xml:space="preserve">), </w:t>
      </w:r>
      <w:r>
        <w:rPr>
          <w:color w:val="000000" w:themeColor="text1"/>
        </w:rPr>
        <w:t xml:space="preserve">степень включения препарата составила 81%. Таким образом, была получена модельная </w:t>
      </w:r>
      <w:proofErr w:type="spellStart"/>
      <w:r>
        <w:rPr>
          <w:color w:val="000000" w:themeColor="text1"/>
        </w:rPr>
        <w:t>остеотропная</w:t>
      </w:r>
      <w:proofErr w:type="spellEnd"/>
      <w:r>
        <w:rPr>
          <w:color w:val="000000" w:themeColor="text1"/>
        </w:rPr>
        <w:t xml:space="preserve"> система адресной доставки с возможностью флуоресцентной визуализации для проведения последующих исследований </w:t>
      </w:r>
      <w:r w:rsidRPr="00D44966">
        <w:rPr>
          <w:i/>
          <w:color w:val="000000" w:themeColor="text1"/>
          <w:lang w:val="en-US"/>
        </w:rPr>
        <w:t>in</w:t>
      </w:r>
      <w:r w:rsidRPr="0072761A">
        <w:rPr>
          <w:i/>
          <w:color w:val="000000" w:themeColor="text1"/>
        </w:rPr>
        <w:t xml:space="preserve"> </w:t>
      </w:r>
      <w:r w:rsidRPr="00D44966">
        <w:rPr>
          <w:i/>
          <w:color w:val="000000" w:themeColor="text1"/>
          <w:lang w:val="en-US"/>
        </w:rPr>
        <w:t>vitro</w:t>
      </w:r>
      <w:r>
        <w:rPr>
          <w:color w:val="000000" w:themeColor="text1"/>
        </w:rPr>
        <w:t>.</w:t>
      </w:r>
    </w:p>
    <w:p w:rsidR="00C36E54" w:rsidRPr="00D37B95" w:rsidRDefault="00D37B95" w:rsidP="00D37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50A7C">
        <w:rPr>
          <w:i/>
          <w:iCs/>
          <w:color w:val="000000"/>
          <w:szCs w:val="20"/>
        </w:rPr>
        <w:t xml:space="preserve">Работа выполнена при финансовой поддержке Министерства науки и высшего образования РФ в рамках государственного </w:t>
      </w:r>
      <w:r w:rsidRPr="008D72A2">
        <w:rPr>
          <w:i/>
          <w:iCs/>
          <w:color w:val="000000"/>
          <w:szCs w:val="20"/>
        </w:rPr>
        <w:t>задания (проект FSSM-2025-0002).</w:t>
      </w:r>
    </w:p>
    <w:sectPr w:rsidR="00C36E54" w:rsidRPr="00D37B9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952780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A7"/>
    <w:rsid w:val="0005285F"/>
    <w:rsid w:val="000906E2"/>
    <w:rsid w:val="001801D8"/>
    <w:rsid w:val="001E64A7"/>
    <w:rsid w:val="00223B04"/>
    <w:rsid w:val="003A2963"/>
    <w:rsid w:val="0052043A"/>
    <w:rsid w:val="0067718A"/>
    <w:rsid w:val="006C0151"/>
    <w:rsid w:val="0081129F"/>
    <w:rsid w:val="00B8752E"/>
    <w:rsid w:val="00C234EC"/>
    <w:rsid w:val="00C36E54"/>
    <w:rsid w:val="00D37B95"/>
    <w:rsid w:val="00D44966"/>
    <w:rsid w:val="00D70D75"/>
    <w:rsid w:val="00DB2FA7"/>
    <w:rsid w:val="00DB5281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B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B2FA7"/>
    <w:rPr>
      <w:color w:val="0000FF" w:themeColor="hyperlink"/>
      <w:u w:val="single"/>
    </w:rPr>
  </w:style>
  <w:style w:type="paragraph" w:styleId="a5">
    <w:name w:val="Body Text"/>
    <w:basedOn w:val="a0"/>
    <w:link w:val="a6"/>
    <w:uiPriority w:val="1"/>
    <w:unhideWhenUsed/>
    <w:qFormat/>
    <w:rsid w:val="00C234EC"/>
    <w:pPr>
      <w:widowControl w:val="0"/>
      <w:autoSpaceDE w:val="0"/>
      <w:autoSpaceDN w:val="0"/>
    </w:pPr>
    <w:rPr>
      <w:lang w:eastAsia="en-US"/>
    </w:rPr>
  </w:style>
  <w:style w:type="character" w:customStyle="1" w:styleId="a6">
    <w:name w:val="Основной текст Знак"/>
    <w:basedOn w:val="a1"/>
    <w:link w:val="a5"/>
    <w:uiPriority w:val="1"/>
    <w:rsid w:val="00C234E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0"/>
    <w:link w:val="a8"/>
    <w:uiPriority w:val="99"/>
    <w:semiHidden/>
    <w:unhideWhenUsed/>
    <w:rsid w:val="001E64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1E64A7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52043A"/>
    <w:pPr>
      <w:numPr>
        <w:numId w:val="1"/>
      </w:numPr>
      <w:contextualSpacing/>
    </w:pPr>
  </w:style>
  <w:style w:type="character" w:styleId="a9">
    <w:name w:val="Placeholder Text"/>
    <w:basedOn w:val="a1"/>
    <w:uiPriority w:val="99"/>
    <w:semiHidden/>
    <w:rsid w:val="00223B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B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B2FA7"/>
    <w:rPr>
      <w:color w:val="0000FF" w:themeColor="hyperlink"/>
      <w:u w:val="single"/>
    </w:rPr>
  </w:style>
  <w:style w:type="paragraph" w:styleId="a5">
    <w:name w:val="Body Text"/>
    <w:basedOn w:val="a0"/>
    <w:link w:val="a6"/>
    <w:uiPriority w:val="1"/>
    <w:unhideWhenUsed/>
    <w:qFormat/>
    <w:rsid w:val="00C234EC"/>
    <w:pPr>
      <w:widowControl w:val="0"/>
      <w:autoSpaceDE w:val="0"/>
      <w:autoSpaceDN w:val="0"/>
    </w:pPr>
    <w:rPr>
      <w:lang w:eastAsia="en-US"/>
    </w:rPr>
  </w:style>
  <w:style w:type="character" w:customStyle="1" w:styleId="a6">
    <w:name w:val="Основной текст Знак"/>
    <w:basedOn w:val="a1"/>
    <w:link w:val="a5"/>
    <w:uiPriority w:val="1"/>
    <w:rsid w:val="00C234E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0"/>
    <w:link w:val="a8"/>
    <w:uiPriority w:val="99"/>
    <w:semiHidden/>
    <w:unhideWhenUsed/>
    <w:rsid w:val="001E64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1E64A7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52043A"/>
    <w:pPr>
      <w:numPr>
        <w:numId w:val="1"/>
      </w:numPr>
      <w:contextualSpacing/>
    </w:pPr>
  </w:style>
  <w:style w:type="character" w:styleId="a9">
    <w:name w:val="Placeholder Text"/>
    <w:basedOn w:val="a1"/>
    <w:uiPriority w:val="99"/>
    <w:semiHidden/>
    <w:rsid w:val="00223B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temulech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6</cp:revision>
  <dcterms:created xsi:type="dcterms:W3CDTF">2026-02-28T09:05:00Z</dcterms:created>
  <dcterms:modified xsi:type="dcterms:W3CDTF">2026-02-28T13:11:00Z</dcterms:modified>
</cp:coreProperties>
</file>