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241" w:rsidRPr="00BA2CD9" w:rsidRDefault="00BA0163" w:rsidP="00CD5777">
      <w:pPr>
        <w:jc w:val="center"/>
        <w:rPr>
          <w:b/>
          <w:bCs/>
        </w:rPr>
      </w:pPr>
      <w:r w:rsidRPr="00BA2CD9">
        <w:rPr>
          <w:b/>
          <w:bCs/>
        </w:rPr>
        <w:t xml:space="preserve">Сравнение методов получения оксидных систем на основе </w:t>
      </w:r>
      <w:proofErr w:type="spellStart"/>
      <w:r w:rsidRPr="00BA2CD9">
        <w:rPr>
          <w:b/>
          <w:bCs/>
          <w:lang w:val="en-US"/>
        </w:rPr>
        <w:t>YCoO</w:t>
      </w:r>
      <w:proofErr w:type="spellEnd"/>
      <w:r w:rsidRPr="00BA2CD9">
        <w:rPr>
          <w:b/>
          <w:bCs/>
          <w:vertAlign w:val="subscript"/>
        </w:rPr>
        <w:t>3</w:t>
      </w:r>
      <w:r w:rsidRPr="00BA2CD9">
        <w:rPr>
          <w:b/>
          <w:bCs/>
        </w:rPr>
        <w:t xml:space="preserve"> для процессов конверсии метана в синтез-газ</w:t>
      </w:r>
    </w:p>
    <w:p w:rsidR="00130241" w:rsidRDefault="00DF2AF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Петрова Ю.Р</w:t>
      </w:r>
      <w:r w:rsidR="00EB1F49">
        <w:rPr>
          <w:b/>
          <w:i/>
          <w:color w:val="000000"/>
        </w:rPr>
        <w:t>.</w:t>
      </w:r>
      <w:r w:rsidRPr="00DF2AF0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Бузоверов</w:t>
      </w:r>
      <w:proofErr w:type="spellEnd"/>
      <w:r>
        <w:rPr>
          <w:b/>
          <w:i/>
          <w:color w:val="000000"/>
        </w:rPr>
        <w:t xml:space="preserve"> М.Е.</w:t>
      </w:r>
      <w:r w:rsidRPr="00DF2AF0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Гавриков А.В</w:t>
      </w:r>
      <w:r w:rsidR="00EB1F49">
        <w:rPr>
          <w:b/>
          <w:i/>
          <w:color w:val="000000"/>
        </w:rPr>
        <w:t>.</w:t>
      </w:r>
      <w:r w:rsidRPr="00DF2AF0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:rsidR="00130241" w:rsidRPr="000E334E" w:rsidRDefault="00EB1F49" w:rsidP="00DF2AF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F2AF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F2AF0">
        <w:rPr>
          <w:i/>
          <w:color w:val="000000"/>
        </w:rPr>
        <w:t>магистратуры</w:t>
      </w:r>
    </w:p>
    <w:p w:rsidR="00130241" w:rsidRDefault="00DF2AF0" w:rsidP="00BF4622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B1CD0"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 xml:space="preserve">общей и </w:t>
      </w:r>
      <w:r w:rsidR="002B1CD0" w:rsidRPr="002B1CD0">
        <w:rPr>
          <w:i/>
          <w:color w:val="000000"/>
        </w:rPr>
        <w:t xml:space="preserve">неорганической химии им. </w:t>
      </w:r>
      <w:r>
        <w:rPr>
          <w:i/>
          <w:color w:val="000000"/>
        </w:rPr>
        <w:t>Н.С. Курнакова</w:t>
      </w:r>
      <w:r w:rsidR="002B1CD0" w:rsidRPr="002B1CD0">
        <w:rPr>
          <w:i/>
          <w:color w:val="000000"/>
        </w:rPr>
        <w:t xml:space="preserve"> РАН, </w:t>
      </w:r>
      <w:r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0E334E" w:rsidRPr="000E334E">
        <w:rPr>
          <w:i/>
          <w:color w:val="000000"/>
          <w:highlight w:val="yellow"/>
        </w:rPr>
        <w:t xml:space="preserve"> </w:t>
      </w:r>
    </w:p>
    <w:p w:rsidR="00DF2AF0" w:rsidRPr="000E334E" w:rsidRDefault="00DF2AF0" w:rsidP="00DF2AF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85738" w:rsidRPr="00885738">
        <w:rPr>
          <w:i/>
          <w:color w:val="000000"/>
        </w:rPr>
        <w:t xml:space="preserve">Факультет наук о материалах МГУ имени М.В. Ломоносова, Москва, Россия </w:t>
      </w:r>
    </w:p>
    <w:p w:rsidR="00130241" w:rsidRPr="009D260E" w:rsidRDefault="00EB1F49">
      <w:pPr>
        <w:shd w:val="clear" w:color="auto" w:fill="FFFFFF"/>
        <w:jc w:val="center"/>
        <w:rPr>
          <w:color w:val="000000"/>
          <w:u w:val="single"/>
          <w:lang w:val="en-US"/>
        </w:rPr>
      </w:pPr>
      <w:r w:rsidRPr="00DF2AF0">
        <w:rPr>
          <w:i/>
          <w:color w:val="000000"/>
          <w:lang w:val="en-US"/>
        </w:rPr>
        <w:t>E</w:t>
      </w:r>
      <w:r w:rsidR="003B76D6" w:rsidRPr="00DF2AF0">
        <w:rPr>
          <w:i/>
          <w:color w:val="000000"/>
          <w:lang w:val="en-US"/>
        </w:rPr>
        <w:t>-</w:t>
      </w:r>
      <w:r w:rsidRPr="00DF2AF0">
        <w:rPr>
          <w:i/>
          <w:color w:val="000000"/>
          <w:lang w:val="en-US"/>
        </w:rPr>
        <w:t xml:space="preserve">mail: </w:t>
      </w:r>
      <w:r w:rsidR="00DF2AF0" w:rsidRPr="009D260E">
        <w:rPr>
          <w:i/>
          <w:u w:val="single"/>
          <w:lang w:val="en-US"/>
        </w:rPr>
        <w:t>yu.p.r@yandex.ru</w:t>
      </w:r>
    </w:p>
    <w:p w:rsidR="00A819F7" w:rsidRPr="009C34E8" w:rsidRDefault="004E5626" w:rsidP="00FD32FE">
      <w:pPr>
        <w:shd w:val="clear" w:color="auto" w:fill="FFFFFF"/>
        <w:ind w:firstLine="397"/>
        <w:jc w:val="both"/>
        <w:rPr>
          <w:color w:val="000000"/>
        </w:rPr>
      </w:pPr>
      <w:proofErr w:type="spellStart"/>
      <w:r w:rsidRPr="009C34E8">
        <w:t>К</w:t>
      </w:r>
      <w:r w:rsidR="002637CA" w:rsidRPr="009C34E8">
        <w:t>обальтат</w:t>
      </w:r>
      <w:r w:rsidRPr="009C34E8">
        <w:t>ы</w:t>
      </w:r>
      <w:proofErr w:type="spellEnd"/>
      <w:r w:rsidR="002637CA" w:rsidRPr="009C34E8">
        <w:t xml:space="preserve"> редкоземельных элементов</w:t>
      </w:r>
      <w:r w:rsidRPr="009C34E8">
        <w:t xml:space="preserve"> (</w:t>
      </w:r>
      <w:proofErr w:type="spellStart"/>
      <w:r w:rsidR="002637CA" w:rsidRPr="009C34E8">
        <w:rPr>
          <w:color w:val="000000"/>
          <w:lang w:val="en-US"/>
        </w:rPr>
        <w:t>LnCoO</w:t>
      </w:r>
      <w:proofErr w:type="spellEnd"/>
      <w:r w:rsidR="002637CA" w:rsidRPr="009C34E8">
        <w:rPr>
          <w:color w:val="000000"/>
          <w:vertAlign w:val="subscript"/>
        </w:rPr>
        <w:t>3</w:t>
      </w:r>
      <w:r w:rsidR="002637CA" w:rsidRPr="009C34E8">
        <w:t xml:space="preserve">) </w:t>
      </w:r>
      <w:r w:rsidRPr="009C34E8">
        <w:t xml:space="preserve">– сложные оксиды со структурой </w:t>
      </w:r>
      <w:r w:rsidR="002637CA" w:rsidRPr="009C34E8">
        <w:t>искаженны</w:t>
      </w:r>
      <w:r w:rsidRPr="009C34E8">
        <w:t>х</w:t>
      </w:r>
      <w:r w:rsidR="002637CA" w:rsidRPr="009C34E8">
        <w:t xml:space="preserve"> перовскит</w:t>
      </w:r>
      <w:r w:rsidRPr="009C34E8">
        <w:t>ов,</w:t>
      </w:r>
      <w:r w:rsidR="002B23FD" w:rsidRPr="009C34E8">
        <w:t xml:space="preserve"> которые могут использоваться в качестве предшественников </w:t>
      </w:r>
      <w:r w:rsidR="002637CA" w:rsidRPr="009C34E8">
        <w:rPr>
          <w:color w:val="000000"/>
        </w:rPr>
        <w:t xml:space="preserve">композитов </w:t>
      </w:r>
      <w:r w:rsidR="002637CA" w:rsidRPr="009C34E8">
        <w:rPr>
          <w:color w:val="000000"/>
          <w:lang w:val="en-US"/>
        </w:rPr>
        <w:t>Co</w:t>
      </w:r>
      <w:r w:rsidR="002637CA" w:rsidRPr="009C34E8">
        <w:rPr>
          <w:color w:val="000000"/>
        </w:rPr>
        <w:t>/</w:t>
      </w:r>
      <w:r w:rsidR="002637CA" w:rsidRPr="009C34E8">
        <w:rPr>
          <w:color w:val="000000"/>
          <w:lang w:val="en-US"/>
        </w:rPr>
        <w:t>Ln</w:t>
      </w:r>
      <w:r w:rsidR="002637CA" w:rsidRPr="009C34E8">
        <w:rPr>
          <w:color w:val="000000"/>
          <w:vertAlign w:val="subscript"/>
        </w:rPr>
        <w:t>2</w:t>
      </w:r>
      <w:r w:rsidR="002637CA" w:rsidRPr="009C34E8">
        <w:rPr>
          <w:color w:val="000000"/>
          <w:lang w:val="en-US"/>
        </w:rPr>
        <w:t>O</w:t>
      </w:r>
      <w:r w:rsidR="002637CA" w:rsidRPr="009C34E8">
        <w:rPr>
          <w:color w:val="000000"/>
          <w:vertAlign w:val="subscript"/>
        </w:rPr>
        <w:t>3</w:t>
      </w:r>
      <w:r w:rsidR="002637CA" w:rsidRPr="009C34E8">
        <w:rPr>
          <w:color w:val="000000"/>
        </w:rPr>
        <w:t xml:space="preserve"> – катализаторов процессов кислородной и углекислотной конверсии метана (ККМ и УКМ)</w:t>
      </w:r>
      <w:r w:rsidR="00FD32FE" w:rsidRPr="009C34E8">
        <w:t xml:space="preserve"> </w:t>
      </w:r>
      <w:r w:rsidR="00FD32FE" w:rsidRPr="009C34E8">
        <w:rPr>
          <w:color w:val="000000"/>
        </w:rPr>
        <w:t xml:space="preserve">в синтез-газ – важнейший полупродукт промышленного синтеза. </w:t>
      </w:r>
      <w:r w:rsidR="00BA0163" w:rsidRPr="009C34E8">
        <w:rPr>
          <w:color w:val="000000"/>
        </w:rPr>
        <w:t xml:space="preserve">Достоинством таких катализаторов является высокая устойчивость к </w:t>
      </w:r>
      <w:proofErr w:type="spellStart"/>
      <w:r w:rsidR="00BA0163" w:rsidRPr="009C34E8">
        <w:rPr>
          <w:color w:val="000000"/>
        </w:rPr>
        <w:t>зауглероживанию</w:t>
      </w:r>
      <w:proofErr w:type="spellEnd"/>
      <w:r w:rsidR="00BA0163" w:rsidRPr="009C34E8">
        <w:rPr>
          <w:color w:val="000000"/>
        </w:rPr>
        <w:t xml:space="preserve">. </w:t>
      </w:r>
      <w:r w:rsidR="002B23FD" w:rsidRPr="009C34E8">
        <w:rPr>
          <w:color w:val="000000"/>
        </w:rPr>
        <w:t xml:space="preserve">Хотя </w:t>
      </w:r>
      <w:proofErr w:type="spellStart"/>
      <w:r w:rsidR="00A819F7" w:rsidRPr="009C34E8">
        <w:rPr>
          <w:color w:val="000000"/>
          <w:lang w:val="en-US"/>
        </w:rPr>
        <w:t>LnCoO</w:t>
      </w:r>
      <w:proofErr w:type="spellEnd"/>
      <w:r w:rsidR="00A819F7" w:rsidRPr="009C34E8">
        <w:rPr>
          <w:color w:val="000000"/>
          <w:vertAlign w:val="subscript"/>
        </w:rPr>
        <w:t>3</w:t>
      </w:r>
      <w:r w:rsidR="00BA0163" w:rsidRPr="009C34E8">
        <w:rPr>
          <w:shd w:val="clear" w:color="auto" w:fill="FFFFFF"/>
        </w:rPr>
        <w:t xml:space="preserve"> активно исследуются в катализе ККМ и УКМ,</w:t>
      </w:r>
      <w:r w:rsidR="002B23FD" w:rsidRPr="009C34E8">
        <w:rPr>
          <w:shd w:val="clear" w:color="auto" w:fill="FFFFFF"/>
        </w:rPr>
        <w:t xml:space="preserve"> </w:t>
      </w:r>
      <w:r w:rsidR="00BA0163" w:rsidRPr="009C34E8">
        <w:rPr>
          <w:shd w:val="clear" w:color="auto" w:fill="FFFFFF"/>
        </w:rPr>
        <w:t>YCoO</w:t>
      </w:r>
      <w:r w:rsidR="00BA0163" w:rsidRPr="009C34E8">
        <w:rPr>
          <w:shd w:val="clear" w:color="auto" w:fill="FFFFFF"/>
          <w:vertAlign w:val="subscript"/>
        </w:rPr>
        <w:t>3</w:t>
      </w:r>
      <w:r w:rsidR="002B23FD" w:rsidRPr="009C34E8">
        <w:t xml:space="preserve"> </w:t>
      </w:r>
      <w:r w:rsidR="00EB7390" w:rsidRPr="009C34E8">
        <w:t xml:space="preserve">до сих пор </w:t>
      </w:r>
      <w:r w:rsidR="00BA0163" w:rsidRPr="009C34E8">
        <w:t xml:space="preserve">практически </w:t>
      </w:r>
      <w:r w:rsidR="00EB7390" w:rsidRPr="009C34E8">
        <w:t>не изучался</w:t>
      </w:r>
      <w:r w:rsidR="002B23FD" w:rsidRPr="009C34E8">
        <w:t>.</w:t>
      </w:r>
      <w:r w:rsidR="002B23FD" w:rsidRPr="009C34E8">
        <w:rPr>
          <w:color w:val="000000"/>
        </w:rPr>
        <w:t xml:space="preserve"> При этом важным фундаментальным </w:t>
      </w:r>
      <w:r w:rsidR="00BA0163" w:rsidRPr="009C34E8">
        <w:rPr>
          <w:color w:val="000000"/>
        </w:rPr>
        <w:t xml:space="preserve">преимуществом </w:t>
      </w:r>
      <w:r w:rsidR="002B23FD" w:rsidRPr="009C34E8">
        <w:rPr>
          <w:color w:val="000000"/>
        </w:rPr>
        <w:t xml:space="preserve">соответствующих катализаторов </w:t>
      </w:r>
      <w:r w:rsidR="00BA0163" w:rsidRPr="009C34E8">
        <w:rPr>
          <w:color w:val="000000"/>
        </w:rPr>
        <w:t>является относительно низкая стабильность перовскитной фазы</w:t>
      </w:r>
      <w:r w:rsidR="002B23FD" w:rsidRPr="009C34E8">
        <w:rPr>
          <w:color w:val="000000"/>
        </w:rPr>
        <w:t xml:space="preserve"> (</w:t>
      </w:r>
      <w:r w:rsidR="00BA0163" w:rsidRPr="009C34E8">
        <w:rPr>
          <w:color w:val="000000"/>
        </w:rPr>
        <w:t xml:space="preserve">что снижает вероятность </w:t>
      </w:r>
      <w:r w:rsidR="00EB7390" w:rsidRPr="009C34E8">
        <w:rPr>
          <w:color w:val="000000"/>
        </w:rPr>
        <w:t xml:space="preserve">нежелательного процесса ее </w:t>
      </w:r>
      <w:r w:rsidR="00BA0163" w:rsidRPr="009C34E8">
        <w:rPr>
          <w:color w:val="000000"/>
        </w:rPr>
        <w:t xml:space="preserve">ресинтеза) и </w:t>
      </w:r>
      <w:proofErr w:type="spellStart"/>
      <w:r w:rsidR="00BA0163" w:rsidRPr="009C34E8">
        <w:rPr>
          <w:color w:val="000000"/>
        </w:rPr>
        <w:t>бóльшая</w:t>
      </w:r>
      <w:proofErr w:type="spellEnd"/>
      <w:r w:rsidR="00BA0163" w:rsidRPr="009C34E8">
        <w:rPr>
          <w:color w:val="000000"/>
        </w:rPr>
        <w:t xml:space="preserve"> доступность </w:t>
      </w:r>
      <w:r w:rsidR="00BA0163" w:rsidRPr="009C34E8">
        <w:rPr>
          <w:color w:val="000000"/>
          <w:lang w:val="en-US"/>
        </w:rPr>
        <w:t>Y</w:t>
      </w:r>
      <w:r w:rsidR="00BA0163" w:rsidRPr="009C34E8">
        <w:rPr>
          <w:color w:val="000000"/>
        </w:rPr>
        <w:t xml:space="preserve"> в сравнении с </w:t>
      </w:r>
      <w:r w:rsidR="00EB7390" w:rsidRPr="009C34E8">
        <w:rPr>
          <w:color w:val="000000"/>
        </w:rPr>
        <w:t xml:space="preserve">большинством </w:t>
      </w:r>
      <w:r w:rsidR="00BA0163" w:rsidRPr="009C34E8">
        <w:rPr>
          <w:color w:val="000000"/>
        </w:rPr>
        <w:t>другими РЗЭ.</w:t>
      </w:r>
      <w:r w:rsidR="00A819F7" w:rsidRPr="009C34E8">
        <w:t xml:space="preserve"> </w:t>
      </w:r>
      <w:r w:rsidR="00EB7390" w:rsidRPr="009C34E8">
        <w:rPr>
          <w:color w:val="000000"/>
        </w:rPr>
        <w:t>С другой стороны</w:t>
      </w:r>
      <w:r w:rsidR="00FD32FE" w:rsidRPr="009C34E8">
        <w:rPr>
          <w:color w:val="000000"/>
        </w:rPr>
        <w:t>,</w:t>
      </w:r>
      <w:r w:rsidR="00EB7390" w:rsidRPr="009C34E8">
        <w:rPr>
          <w:color w:val="000000"/>
        </w:rPr>
        <w:t xml:space="preserve"> </w:t>
      </w:r>
      <w:r w:rsidR="00555962" w:rsidRPr="009C34E8">
        <w:rPr>
          <w:color w:val="000000"/>
        </w:rPr>
        <w:t xml:space="preserve">известно, что </w:t>
      </w:r>
      <w:r w:rsidR="00BA0163" w:rsidRPr="009C34E8">
        <w:rPr>
          <w:color w:val="000000"/>
        </w:rPr>
        <w:t xml:space="preserve">эффективность композитов </w:t>
      </w:r>
      <w:r w:rsidR="00BA0163" w:rsidRPr="009C34E8">
        <w:rPr>
          <w:color w:val="000000"/>
          <w:lang w:val="en-US"/>
        </w:rPr>
        <w:t>Co</w:t>
      </w:r>
      <w:r w:rsidR="00BA0163" w:rsidRPr="009C34E8">
        <w:rPr>
          <w:color w:val="000000"/>
        </w:rPr>
        <w:t>/</w:t>
      </w:r>
      <w:r w:rsidR="00BA0163" w:rsidRPr="009C34E8">
        <w:rPr>
          <w:color w:val="000000"/>
          <w:lang w:val="en-US"/>
        </w:rPr>
        <w:t>Ln</w:t>
      </w:r>
      <w:r w:rsidR="00BA0163" w:rsidRPr="009C34E8">
        <w:rPr>
          <w:color w:val="000000"/>
          <w:vertAlign w:val="subscript"/>
        </w:rPr>
        <w:t>2</w:t>
      </w:r>
      <w:r w:rsidR="00BA0163" w:rsidRPr="009C34E8">
        <w:rPr>
          <w:color w:val="000000"/>
          <w:lang w:val="en-US"/>
        </w:rPr>
        <w:t>O</w:t>
      </w:r>
      <w:r w:rsidR="00BA0163" w:rsidRPr="009C34E8">
        <w:rPr>
          <w:color w:val="000000"/>
          <w:vertAlign w:val="subscript"/>
        </w:rPr>
        <w:t>3</w:t>
      </w:r>
      <w:r w:rsidR="00BA0163" w:rsidRPr="009C34E8">
        <w:rPr>
          <w:color w:val="000000"/>
        </w:rPr>
        <w:t xml:space="preserve"> в катализе зависит от метода получения исходных </w:t>
      </w:r>
      <w:proofErr w:type="spellStart"/>
      <w:r w:rsidR="00BA0163" w:rsidRPr="009C34E8">
        <w:rPr>
          <w:lang w:val="en-US"/>
        </w:rPr>
        <w:t>LnCoO</w:t>
      </w:r>
      <w:proofErr w:type="spellEnd"/>
      <w:r w:rsidR="00BA0163" w:rsidRPr="009C34E8">
        <w:rPr>
          <w:vertAlign w:val="subscript"/>
        </w:rPr>
        <w:t>3</w:t>
      </w:r>
      <w:r w:rsidR="00FD32FE" w:rsidRPr="009C34E8">
        <w:t xml:space="preserve"> </w:t>
      </w:r>
      <w:r w:rsidR="00BA0163" w:rsidRPr="009C34E8">
        <w:t>[</w:t>
      </w:r>
      <w:r w:rsidR="00885738" w:rsidRPr="009C34E8">
        <w:t>1, 2</w:t>
      </w:r>
      <w:r w:rsidR="00BA0163" w:rsidRPr="009C34E8">
        <w:t>]</w:t>
      </w:r>
      <w:r w:rsidR="00FD32FE" w:rsidRPr="009C34E8">
        <w:t>.</w:t>
      </w:r>
      <w:r w:rsidR="00BA0163" w:rsidRPr="009C34E8">
        <w:t xml:space="preserve"> </w:t>
      </w:r>
    </w:p>
    <w:p w:rsidR="00A819F7" w:rsidRPr="009D260E" w:rsidRDefault="00895829" w:rsidP="00885738">
      <w:pPr>
        <w:shd w:val="clear" w:color="auto" w:fill="FFFFFF"/>
        <w:ind w:firstLine="397"/>
        <w:jc w:val="both"/>
        <w:rPr>
          <w:color w:val="000000"/>
        </w:rPr>
      </w:pPr>
      <w:r w:rsidRPr="009C34E8">
        <w:t>Ранее</w:t>
      </w:r>
      <w:r w:rsidR="00BA0163" w:rsidRPr="009C34E8">
        <w:rPr>
          <w:color w:val="000000"/>
        </w:rPr>
        <w:t xml:space="preserve"> нами был предложен оригинальный метод получения оксидных систем на основе YCoO</w:t>
      </w:r>
      <w:r w:rsidR="00BA0163" w:rsidRPr="009C34E8">
        <w:rPr>
          <w:color w:val="000000"/>
          <w:vertAlign w:val="subscript"/>
        </w:rPr>
        <w:t>3</w:t>
      </w:r>
      <w:r w:rsidR="00BA0163" w:rsidRPr="009C34E8">
        <w:rPr>
          <w:color w:val="000000"/>
        </w:rPr>
        <w:t xml:space="preserve"> из комплекса [</w:t>
      </w:r>
      <w:proofErr w:type="gramStart"/>
      <w:r w:rsidR="00BA0163" w:rsidRPr="009C34E8">
        <w:rPr>
          <w:color w:val="000000"/>
        </w:rPr>
        <w:t>Co(</w:t>
      </w:r>
      <w:proofErr w:type="spellStart"/>
      <w:proofErr w:type="gramEnd"/>
      <w:r w:rsidR="00BA0163" w:rsidRPr="009C34E8">
        <w:rPr>
          <w:color w:val="000000"/>
        </w:rPr>
        <w:t>Phen</w:t>
      </w:r>
      <w:proofErr w:type="spellEnd"/>
      <w:r w:rsidR="00BA0163" w:rsidRPr="009C34E8">
        <w:rPr>
          <w:color w:val="000000"/>
        </w:rPr>
        <w:t>)</w:t>
      </w:r>
      <w:proofErr w:type="gramStart"/>
      <w:r w:rsidR="00BA0163" w:rsidRPr="009C34E8">
        <w:rPr>
          <w:color w:val="000000"/>
          <w:vertAlign w:val="subscript"/>
        </w:rPr>
        <w:t>3</w:t>
      </w:r>
      <w:r w:rsidR="00BA0163" w:rsidRPr="009C34E8">
        <w:rPr>
          <w:color w:val="000000"/>
        </w:rPr>
        <w:t>][</w:t>
      </w:r>
      <w:proofErr w:type="gramEnd"/>
      <w:r w:rsidR="00BA0163" w:rsidRPr="009C34E8">
        <w:rPr>
          <w:color w:val="000000"/>
        </w:rPr>
        <w:t>Y(NO</w:t>
      </w:r>
      <w:r w:rsidR="00BA0163" w:rsidRPr="009C34E8">
        <w:rPr>
          <w:color w:val="000000"/>
          <w:vertAlign w:val="subscript"/>
        </w:rPr>
        <w:t>3</w:t>
      </w:r>
      <w:r w:rsidR="00BA0163" w:rsidRPr="00BA0163">
        <w:rPr>
          <w:color w:val="000000"/>
        </w:rPr>
        <w:t>)</w:t>
      </w:r>
      <w:r w:rsidR="00BA0163" w:rsidRPr="00BA0163">
        <w:rPr>
          <w:color w:val="000000"/>
          <w:vertAlign w:val="subscript"/>
        </w:rPr>
        <w:t>5</w:t>
      </w:r>
      <w:r w:rsidR="00BA0163" w:rsidRPr="00BA0163">
        <w:rPr>
          <w:color w:val="000000"/>
        </w:rPr>
        <w:t>] (</w:t>
      </w:r>
      <w:r w:rsidR="00BA0163" w:rsidRPr="00BA0163">
        <w:rPr>
          <w:b/>
          <w:bCs/>
          <w:color w:val="000000"/>
        </w:rPr>
        <w:t>1</w:t>
      </w:r>
      <w:r w:rsidR="00A819F7" w:rsidRPr="00555962">
        <w:rPr>
          <w:bCs/>
          <w:color w:val="000000"/>
        </w:rPr>
        <w:t xml:space="preserve">, </w:t>
      </w:r>
      <w:r w:rsidR="00A819F7" w:rsidRPr="00555962">
        <w:rPr>
          <w:color w:val="000000"/>
          <w:lang w:val="en-US"/>
        </w:rPr>
        <w:t>Phen</w:t>
      </w:r>
      <w:r w:rsidR="00A819F7" w:rsidRPr="00BA0163">
        <w:rPr>
          <w:color w:val="000000"/>
        </w:rPr>
        <w:t xml:space="preserve"> = </w:t>
      </w:r>
      <w:r w:rsidR="00A819F7">
        <w:rPr>
          <w:color w:val="000000"/>
        </w:rPr>
        <w:t>1,10-фенантролин</w:t>
      </w:r>
      <w:r w:rsidR="00BA0163" w:rsidRPr="00BA0163">
        <w:rPr>
          <w:color w:val="000000"/>
        </w:rPr>
        <w:t>)</w:t>
      </w:r>
      <w:r w:rsidR="0044374D">
        <w:rPr>
          <w:color w:val="000000"/>
        </w:rPr>
        <w:t xml:space="preserve"> и оптим</w:t>
      </w:r>
      <w:r w:rsidR="00EB7390">
        <w:rPr>
          <w:color w:val="000000"/>
        </w:rPr>
        <w:t xml:space="preserve">изированы </w:t>
      </w:r>
      <w:r w:rsidR="0044374D">
        <w:rPr>
          <w:color w:val="000000"/>
        </w:rPr>
        <w:t>условия его термообработки</w:t>
      </w:r>
      <w:r w:rsidR="00555962">
        <w:rPr>
          <w:color w:val="000000"/>
        </w:rPr>
        <w:t xml:space="preserve"> для получения продукта с максимальным содержанием </w:t>
      </w:r>
      <w:r w:rsidR="00555962" w:rsidRPr="009C34E8">
        <w:rPr>
          <w:color w:val="000000"/>
        </w:rPr>
        <w:t>YCoO</w:t>
      </w:r>
      <w:r w:rsidR="00555962" w:rsidRPr="009C34E8">
        <w:rPr>
          <w:color w:val="000000"/>
          <w:vertAlign w:val="subscript"/>
        </w:rPr>
        <w:t>3</w:t>
      </w:r>
      <w:r w:rsidR="00BA0163" w:rsidRPr="009C34E8">
        <w:rPr>
          <w:color w:val="000000"/>
        </w:rPr>
        <w:t xml:space="preserve">. В продолжение развития этого метода, в </w:t>
      </w:r>
      <w:r w:rsidR="00A819F7" w:rsidRPr="009C34E8">
        <w:rPr>
          <w:color w:val="000000"/>
        </w:rPr>
        <w:t>настоящей</w:t>
      </w:r>
      <w:r w:rsidR="00BA0163" w:rsidRPr="009C34E8">
        <w:rPr>
          <w:color w:val="000000"/>
        </w:rPr>
        <w:t xml:space="preserve"> работе изучена эффективность</w:t>
      </w:r>
      <w:r w:rsidR="00D72581" w:rsidRPr="009C34E8">
        <w:rPr>
          <w:color w:val="000000"/>
        </w:rPr>
        <w:t xml:space="preserve"> </w:t>
      </w:r>
      <w:r w:rsidR="00EB7390" w:rsidRPr="009C34E8">
        <w:rPr>
          <w:color w:val="000000"/>
        </w:rPr>
        <w:t>как прекурсора оксидных систем на основе YCoO</w:t>
      </w:r>
      <w:r w:rsidR="00EB7390" w:rsidRPr="009C34E8">
        <w:rPr>
          <w:color w:val="000000"/>
          <w:vertAlign w:val="subscript"/>
        </w:rPr>
        <w:t>3</w:t>
      </w:r>
      <w:r w:rsidR="00EB7390" w:rsidRPr="009C34E8">
        <w:rPr>
          <w:color w:val="000000"/>
        </w:rPr>
        <w:t xml:space="preserve"> </w:t>
      </w:r>
      <w:r w:rsidR="00D72581" w:rsidRPr="009C34E8">
        <w:rPr>
          <w:color w:val="000000"/>
        </w:rPr>
        <w:t>более простого комплекса [</w:t>
      </w:r>
      <w:proofErr w:type="gramStart"/>
      <w:r w:rsidR="00D72581" w:rsidRPr="009C34E8">
        <w:rPr>
          <w:color w:val="000000"/>
        </w:rPr>
        <w:t>Co(</w:t>
      </w:r>
      <w:proofErr w:type="spellStart"/>
      <w:proofErr w:type="gramEnd"/>
      <w:r w:rsidR="00D72581" w:rsidRPr="009C34E8">
        <w:rPr>
          <w:color w:val="000000"/>
        </w:rPr>
        <w:t>MeCN</w:t>
      </w:r>
      <w:proofErr w:type="spellEnd"/>
      <w:r w:rsidR="00D72581" w:rsidRPr="009C34E8">
        <w:rPr>
          <w:color w:val="000000"/>
        </w:rPr>
        <w:t>)</w:t>
      </w:r>
      <w:proofErr w:type="gramStart"/>
      <w:r w:rsidR="00D72581" w:rsidRPr="009C34E8">
        <w:rPr>
          <w:color w:val="000000"/>
          <w:vertAlign w:val="subscript"/>
        </w:rPr>
        <w:t>6</w:t>
      </w:r>
      <w:r w:rsidR="00D72581" w:rsidRPr="009C34E8">
        <w:rPr>
          <w:color w:val="000000"/>
        </w:rPr>
        <w:t>][</w:t>
      </w:r>
      <w:proofErr w:type="gramEnd"/>
      <w:r w:rsidR="00D72581" w:rsidRPr="009C34E8">
        <w:rPr>
          <w:color w:val="000000"/>
        </w:rPr>
        <w:t>Y(NO</w:t>
      </w:r>
      <w:r w:rsidR="00D72581" w:rsidRPr="009C34E8">
        <w:rPr>
          <w:color w:val="000000"/>
          <w:vertAlign w:val="subscript"/>
        </w:rPr>
        <w:t>3</w:t>
      </w:r>
      <w:r w:rsidR="00D72581" w:rsidRPr="009C34E8">
        <w:rPr>
          <w:color w:val="000000"/>
        </w:rPr>
        <w:t>)</w:t>
      </w:r>
      <w:r w:rsidR="00D72581" w:rsidRPr="009C34E8">
        <w:rPr>
          <w:color w:val="000000"/>
          <w:vertAlign w:val="subscript"/>
        </w:rPr>
        <w:t>5</w:t>
      </w:r>
      <w:r w:rsidR="00D72581" w:rsidRPr="009C34E8">
        <w:rPr>
          <w:color w:val="000000"/>
        </w:rPr>
        <w:t>] (</w:t>
      </w:r>
      <w:r w:rsidR="00D72581" w:rsidRPr="009C34E8">
        <w:rPr>
          <w:b/>
          <w:bCs/>
          <w:color w:val="000000"/>
        </w:rPr>
        <w:t>2</w:t>
      </w:r>
      <w:r w:rsidR="00D72581" w:rsidRPr="009C34E8">
        <w:rPr>
          <w:color w:val="000000"/>
        </w:rPr>
        <w:t>)</w:t>
      </w:r>
      <w:r w:rsidR="00BA0163" w:rsidRPr="009C34E8">
        <w:rPr>
          <w:color w:val="000000"/>
        </w:rPr>
        <w:t xml:space="preserve">. Показано, что </w:t>
      </w:r>
      <w:r w:rsidR="00555962" w:rsidRPr="009C34E8">
        <w:rPr>
          <w:color w:val="000000"/>
        </w:rPr>
        <w:t>термообработка</w:t>
      </w:r>
      <w:r w:rsidR="00BA0163" w:rsidRPr="009C34E8">
        <w:rPr>
          <w:color w:val="000000"/>
        </w:rPr>
        <w:t xml:space="preserve"> </w:t>
      </w:r>
      <w:r w:rsidR="00BA0163" w:rsidRPr="009C34E8">
        <w:rPr>
          <w:b/>
          <w:color w:val="000000"/>
        </w:rPr>
        <w:t>2</w:t>
      </w:r>
      <w:r w:rsidR="00BA0163" w:rsidRPr="009C34E8">
        <w:rPr>
          <w:color w:val="000000"/>
        </w:rPr>
        <w:t xml:space="preserve"> в оптимальных условиях (Т=900°C, t=6 ч, v=15°C/мин) позволяет получить оксидный продукт с содержанием YCoO</w:t>
      </w:r>
      <w:r w:rsidR="00BA0163" w:rsidRPr="009C34E8">
        <w:rPr>
          <w:color w:val="000000"/>
          <w:vertAlign w:val="subscript"/>
        </w:rPr>
        <w:t>3</w:t>
      </w:r>
      <w:r w:rsidR="00BA0163" w:rsidRPr="009C34E8">
        <w:rPr>
          <w:color w:val="000000"/>
        </w:rPr>
        <w:t xml:space="preserve"> до 97,5%. Для последующей оценки относительной эффективности катализаторов были синтезированы образцы сравнения – оксидные </w:t>
      </w:r>
      <w:r w:rsidR="00EB7390" w:rsidRPr="009C34E8">
        <w:rPr>
          <w:color w:val="000000"/>
        </w:rPr>
        <w:t>системы</w:t>
      </w:r>
      <w:r w:rsidR="00BA0163" w:rsidRPr="009C34E8">
        <w:rPr>
          <w:color w:val="000000"/>
        </w:rPr>
        <w:t xml:space="preserve">, на основе </w:t>
      </w:r>
      <w:r w:rsidR="00BA0163" w:rsidRPr="009C34E8">
        <w:rPr>
          <w:color w:val="000000"/>
          <w:lang w:val="en-US"/>
        </w:rPr>
        <w:t>Y</w:t>
      </w:r>
      <w:r w:rsidR="00BA0163" w:rsidRPr="009C34E8">
        <w:rPr>
          <w:color w:val="000000"/>
        </w:rPr>
        <w:t xml:space="preserve"> и </w:t>
      </w:r>
      <w:r w:rsidR="00BA0163" w:rsidRPr="009C34E8">
        <w:rPr>
          <w:color w:val="000000"/>
          <w:lang w:val="en-US"/>
        </w:rPr>
        <w:t>Co</w:t>
      </w:r>
      <w:r w:rsidR="00BA0163" w:rsidRPr="009C34E8">
        <w:rPr>
          <w:color w:val="000000"/>
        </w:rPr>
        <w:t>, полученные термообра</w:t>
      </w:r>
      <w:r w:rsidR="0047295B" w:rsidRPr="009C34E8">
        <w:rPr>
          <w:color w:val="000000"/>
        </w:rPr>
        <w:t>бо</w:t>
      </w:r>
      <w:r w:rsidR="00BA0163" w:rsidRPr="009C34E8">
        <w:rPr>
          <w:color w:val="000000"/>
        </w:rPr>
        <w:t xml:space="preserve">ткой в аналогичных условиях, но с использованием стандартных методов </w:t>
      </w:r>
      <w:r w:rsidR="00A819F7" w:rsidRPr="009C34E8">
        <w:rPr>
          <w:color w:val="000000"/>
        </w:rPr>
        <w:t>(</w:t>
      </w:r>
      <w:r w:rsidR="0047295B" w:rsidRPr="009C34E8">
        <w:rPr>
          <w:color w:val="000000"/>
        </w:rPr>
        <w:t>Таблица</w:t>
      </w:r>
      <w:r w:rsidR="00A819F7" w:rsidRPr="009C34E8">
        <w:rPr>
          <w:color w:val="000000"/>
        </w:rPr>
        <w:t xml:space="preserve"> 1)</w:t>
      </w:r>
      <w:r w:rsidR="0047295B" w:rsidRPr="009C34E8">
        <w:rPr>
          <w:color w:val="000000"/>
        </w:rPr>
        <w:t>.</w:t>
      </w:r>
    </w:p>
    <w:p w:rsidR="0047295B" w:rsidRPr="009C34E8" w:rsidRDefault="0047295B" w:rsidP="00BA2CD9">
      <w:pPr>
        <w:shd w:val="clear" w:color="auto" w:fill="FFFFFF"/>
        <w:ind w:firstLine="397"/>
        <w:rPr>
          <w:color w:val="000000"/>
        </w:rPr>
      </w:pPr>
      <w:r w:rsidRPr="009C34E8">
        <w:rPr>
          <w:color w:val="000000"/>
        </w:rPr>
        <w:t>Таблица 1. Зависимость содержания YCoO</w:t>
      </w:r>
      <w:r w:rsidRPr="009C34E8">
        <w:rPr>
          <w:color w:val="000000"/>
          <w:vertAlign w:val="subscript"/>
        </w:rPr>
        <w:t>3</w:t>
      </w:r>
      <w:r w:rsidRPr="009C34E8">
        <w:rPr>
          <w:color w:val="000000"/>
        </w:rPr>
        <w:t xml:space="preserve"> от метода получения</w:t>
      </w:r>
    </w:p>
    <w:tbl>
      <w:tblPr>
        <w:tblStyle w:val="ad"/>
        <w:tblW w:w="9214" w:type="dxa"/>
        <w:tblInd w:w="-5" w:type="dxa"/>
        <w:tblLook w:val="04A0" w:firstRow="1" w:lastRow="0" w:firstColumn="1" w:lastColumn="0" w:noHBand="0" w:noVBand="1"/>
      </w:tblPr>
      <w:tblGrid>
        <w:gridCol w:w="1547"/>
        <w:gridCol w:w="1068"/>
        <w:gridCol w:w="1432"/>
        <w:gridCol w:w="1168"/>
        <w:gridCol w:w="1393"/>
        <w:gridCol w:w="1229"/>
        <w:gridCol w:w="1377"/>
      </w:tblGrid>
      <w:tr w:rsidR="0047295B" w:rsidRPr="009C34E8" w:rsidTr="00BA2CD9">
        <w:tc>
          <w:tcPr>
            <w:tcW w:w="1547" w:type="dxa"/>
            <w:vMerge w:val="restart"/>
            <w:vAlign w:val="center"/>
          </w:tcPr>
          <w:p w:rsidR="0047295B" w:rsidRPr="009C34E8" w:rsidRDefault="0047295B" w:rsidP="00A819F7">
            <w:pPr>
              <w:ind w:firstLine="66"/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Содержание</w:t>
            </w:r>
          </w:p>
          <w:p w:rsidR="0047295B" w:rsidRPr="009C34E8" w:rsidRDefault="0047295B" w:rsidP="0047295B">
            <w:pPr>
              <w:jc w:val="center"/>
              <w:rPr>
                <w:rFonts w:cs="Calibri"/>
                <w:color w:val="000000"/>
                <w:vertAlign w:val="subscript"/>
              </w:rPr>
            </w:pPr>
            <w:r w:rsidRPr="009C34E8">
              <w:rPr>
                <w:rFonts w:cs="Calibri"/>
                <w:color w:val="000000"/>
              </w:rPr>
              <w:t>YCoO</w:t>
            </w:r>
            <w:r w:rsidRPr="009C34E8">
              <w:rPr>
                <w:rFonts w:cs="Calibri"/>
                <w:color w:val="000000"/>
                <w:vertAlign w:val="subscript"/>
              </w:rPr>
              <w:t>3</w:t>
            </w:r>
            <w:r w:rsidRPr="009C34E8">
              <w:rPr>
                <w:rFonts w:cs="Calibri"/>
                <w:color w:val="000000"/>
              </w:rPr>
              <w:t>, масс. %</w:t>
            </w:r>
          </w:p>
        </w:tc>
        <w:tc>
          <w:tcPr>
            <w:tcW w:w="7667" w:type="dxa"/>
            <w:gridSpan w:val="6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Метод получения</w:t>
            </w:r>
          </w:p>
        </w:tc>
      </w:tr>
      <w:tr w:rsidR="0047295B" w:rsidRPr="009C34E8" w:rsidTr="00BA2CD9">
        <w:tc>
          <w:tcPr>
            <w:tcW w:w="1547" w:type="dxa"/>
            <w:vMerge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Золь-гель</w:t>
            </w:r>
          </w:p>
        </w:tc>
        <w:tc>
          <w:tcPr>
            <w:tcW w:w="2600" w:type="dxa"/>
            <w:gridSpan w:val="2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9C34E8">
              <w:rPr>
                <w:rFonts w:cs="Calibri"/>
                <w:color w:val="000000"/>
              </w:rPr>
              <w:t>Соосаждение</w:t>
            </w:r>
            <w:proofErr w:type="spellEnd"/>
          </w:p>
        </w:tc>
        <w:tc>
          <w:tcPr>
            <w:tcW w:w="1393" w:type="dxa"/>
            <w:vMerge w:val="restart"/>
            <w:vAlign w:val="center"/>
          </w:tcPr>
          <w:p w:rsidR="0047295B" w:rsidRPr="009C34E8" w:rsidRDefault="00EB7390" w:rsidP="00EB7390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В с</w:t>
            </w:r>
            <w:r w:rsidR="0047295B" w:rsidRPr="009C34E8">
              <w:rPr>
                <w:rFonts w:cs="Calibri"/>
                <w:color w:val="000000"/>
              </w:rPr>
              <w:t>олево</w:t>
            </w:r>
            <w:r w:rsidRPr="009C34E8">
              <w:rPr>
                <w:rFonts w:cs="Calibri"/>
                <w:color w:val="000000"/>
              </w:rPr>
              <w:t>м</w:t>
            </w:r>
            <w:r w:rsidR="0047295B" w:rsidRPr="009C34E8">
              <w:rPr>
                <w:rFonts w:cs="Calibri"/>
                <w:color w:val="000000"/>
              </w:rPr>
              <w:t xml:space="preserve"> расплав</w:t>
            </w:r>
            <w:r w:rsidRPr="009C34E8">
              <w:rPr>
                <w:rFonts w:cs="Calibri"/>
                <w:color w:val="000000"/>
              </w:rPr>
              <w:t>е</w:t>
            </w:r>
          </w:p>
        </w:tc>
        <w:tc>
          <w:tcPr>
            <w:tcW w:w="2606" w:type="dxa"/>
            <w:gridSpan w:val="2"/>
            <w:vAlign w:val="center"/>
          </w:tcPr>
          <w:p w:rsidR="0047295B" w:rsidRPr="009C34E8" w:rsidRDefault="0047295B" w:rsidP="0047295B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Инд. прекурсор</w:t>
            </w:r>
          </w:p>
        </w:tc>
      </w:tr>
      <w:tr w:rsidR="0047295B" w:rsidRPr="009C34E8" w:rsidTr="00BA2CD9">
        <w:tc>
          <w:tcPr>
            <w:tcW w:w="1547" w:type="dxa"/>
            <w:vMerge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68" w:type="dxa"/>
            <w:vMerge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32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9C34E8">
              <w:rPr>
                <w:rFonts w:cs="Calibri"/>
                <w:color w:val="000000"/>
              </w:rPr>
              <w:t>NaOH</w:t>
            </w:r>
            <w:proofErr w:type="spellEnd"/>
          </w:p>
        </w:tc>
        <w:tc>
          <w:tcPr>
            <w:tcW w:w="1168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Na</w:t>
            </w:r>
            <w:r w:rsidRPr="009C34E8">
              <w:rPr>
                <w:rFonts w:cs="Calibri"/>
                <w:color w:val="000000"/>
                <w:vertAlign w:val="subscript"/>
              </w:rPr>
              <w:t>2</w:t>
            </w:r>
            <w:r w:rsidRPr="009C34E8">
              <w:rPr>
                <w:rFonts w:cs="Calibri"/>
                <w:color w:val="000000"/>
              </w:rPr>
              <w:t>CO</w:t>
            </w:r>
            <w:r w:rsidRPr="009C34E8">
              <w:rPr>
                <w:rFonts w:cs="Calibri"/>
                <w:color w:val="000000"/>
                <w:vertAlign w:val="subscript"/>
              </w:rPr>
              <w:t>3</w:t>
            </w:r>
          </w:p>
        </w:tc>
        <w:tc>
          <w:tcPr>
            <w:tcW w:w="1393" w:type="dxa"/>
            <w:vMerge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b/>
                <w:color w:val="000000"/>
              </w:rPr>
            </w:pPr>
            <w:r w:rsidRPr="009C34E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b/>
                <w:color w:val="000000"/>
              </w:rPr>
            </w:pPr>
            <w:r w:rsidRPr="009C34E8">
              <w:rPr>
                <w:rFonts w:cs="Calibri"/>
                <w:b/>
                <w:color w:val="000000"/>
              </w:rPr>
              <w:t>2</w:t>
            </w:r>
          </w:p>
        </w:tc>
      </w:tr>
      <w:tr w:rsidR="0047295B" w:rsidRPr="009C34E8" w:rsidTr="00BA2CD9">
        <w:tc>
          <w:tcPr>
            <w:tcW w:w="1547" w:type="dxa"/>
            <w:vMerge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68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81,8</w:t>
            </w:r>
          </w:p>
        </w:tc>
        <w:tc>
          <w:tcPr>
            <w:tcW w:w="1432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80,2</w:t>
            </w:r>
          </w:p>
        </w:tc>
        <w:tc>
          <w:tcPr>
            <w:tcW w:w="1168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27,8</w:t>
            </w:r>
          </w:p>
        </w:tc>
        <w:tc>
          <w:tcPr>
            <w:tcW w:w="1393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22,1</w:t>
            </w:r>
          </w:p>
        </w:tc>
        <w:tc>
          <w:tcPr>
            <w:tcW w:w="1229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94,9</w:t>
            </w:r>
          </w:p>
        </w:tc>
        <w:tc>
          <w:tcPr>
            <w:tcW w:w="1377" w:type="dxa"/>
            <w:vAlign w:val="center"/>
          </w:tcPr>
          <w:p w:rsidR="0047295B" w:rsidRPr="009C34E8" w:rsidRDefault="0047295B" w:rsidP="00A819F7">
            <w:pPr>
              <w:jc w:val="center"/>
              <w:rPr>
                <w:rFonts w:cs="Calibri"/>
                <w:color w:val="000000"/>
              </w:rPr>
            </w:pPr>
            <w:r w:rsidRPr="009C34E8">
              <w:rPr>
                <w:rFonts w:cs="Calibri"/>
                <w:color w:val="000000"/>
              </w:rPr>
              <w:t>97,5</w:t>
            </w:r>
          </w:p>
        </w:tc>
      </w:tr>
    </w:tbl>
    <w:p w:rsidR="00926CBE" w:rsidRPr="009C34E8" w:rsidRDefault="00555962" w:rsidP="00BA2CD9">
      <w:pPr>
        <w:shd w:val="clear" w:color="auto" w:fill="FFFFFF"/>
        <w:ind w:firstLine="426"/>
        <w:jc w:val="both"/>
        <w:rPr>
          <w:color w:val="000000"/>
        </w:rPr>
      </w:pPr>
      <w:r w:rsidRPr="009C34E8">
        <w:rPr>
          <w:color w:val="000000"/>
        </w:rPr>
        <w:t>Н</w:t>
      </w:r>
      <w:r w:rsidR="00FD32FE" w:rsidRPr="009C34E8">
        <w:rPr>
          <w:color w:val="000000"/>
        </w:rPr>
        <w:t>аибольшее</w:t>
      </w:r>
      <w:r w:rsidR="00BA0163" w:rsidRPr="009C34E8">
        <w:rPr>
          <w:color w:val="000000"/>
        </w:rPr>
        <w:t xml:space="preserve"> содержание YCoO</w:t>
      </w:r>
      <w:r w:rsidR="00BA0163" w:rsidRPr="009C34E8">
        <w:rPr>
          <w:color w:val="000000"/>
          <w:vertAlign w:val="subscript"/>
        </w:rPr>
        <w:t>3</w:t>
      </w:r>
      <w:r w:rsidR="00BA0163" w:rsidRPr="009C34E8">
        <w:rPr>
          <w:color w:val="000000"/>
        </w:rPr>
        <w:t xml:space="preserve"> </w:t>
      </w:r>
      <w:r w:rsidR="00DA220E" w:rsidRPr="009C34E8">
        <w:rPr>
          <w:color w:val="000000"/>
        </w:rPr>
        <w:t xml:space="preserve">при идентичных условиях термообработки </w:t>
      </w:r>
      <w:r w:rsidR="00FD32FE" w:rsidRPr="009C34E8">
        <w:rPr>
          <w:color w:val="000000"/>
        </w:rPr>
        <w:t>достигается при использовании термолиза индивидуальных прекурсоров</w:t>
      </w:r>
      <w:r w:rsidR="00DA220E" w:rsidRPr="009C34E8">
        <w:rPr>
          <w:color w:val="000000"/>
        </w:rPr>
        <w:t xml:space="preserve"> </w:t>
      </w:r>
      <w:r w:rsidR="00DA220E" w:rsidRPr="009C34E8">
        <w:rPr>
          <w:b/>
          <w:color w:val="000000"/>
        </w:rPr>
        <w:t>1</w:t>
      </w:r>
      <w:r w:rsidR="00DA220E" w:rsidRPr="009C34E8">
        <w:rPr>
          <w:color w:val="000000"/>
        </w:rPr>
        <w:t xml:space="preserve"> и </w:t>
      </w:r>
      <w:r w:rsidR="00DA220E" w:rsidRPr="009C34E8">
        <w:rPr>
          <w:b/>
          <w:color w:val="000000"/>
        </w:rPr>
        <w:t>2</w:t>
      </w:r>
      <w:r w:rsidR="00FD32FE" w:rsidRPr="009C34E8">
        <w:rPr>
          <w:color w:val="000000"/>
        </w:rPr>
        <w:t>,</w:t>
      </w:r>
      <w:r w:rsidRPr="009C34E8">
        <w:rPr>
          <w:color w:val="000000"/>
        </w:rPr>
        <w:t xml:space="preserve"> </w:t>
      </w:r>
      <w:r w:rsidR="00FD32FE" w:rsidRPr="009C34E8">
        <w:rPr>
          <w:color w:val="000000"/>
        </w:rPr>
        <w:t xml:space="preserve">наименьшее </w:t>
      </w:r>
      <w:r w:rsidR="00DA220E" w:rsidRPr="009C34E8">
        <w:rPr>
          <w:color w:val="000000"/>
        </w:rPr>
        <w:t>–</w:t>
      </w:r>
      <w:r w:rsidR="00FD32FE" w:rsidRPr="009C34E8">
        <w:rPr>
          <w:color w:val="000000"/>
        </w:rPr>
        <w:t xml:space="preserve"> </w:t>
      </w:r>
      <w:r w:rsidR="00DA220E" w:rsidRPr="009C34E8">
        <w:rPr>
          <w:color w:val="000000"/>
        </w:rPr>
        <w:t xml:space="preserve">при получении из солевого расплава. </w:t>
      </w:r>
      <w:r w:rsidR="00BA0163" w:rsidRPr="009C34E8">
        <w:rPr>
          <w:color w:val="000000"/>
        </w:rPr>
        <w:t xml:space="preserve">Обсуждаются причины </w:t>
      </w:r>
      <w:r w:rsidRPr="009C34E8">
        <w:rPr>
          <w:color w:val="000000"/>
        </w:rPr>
        <w:t>р</w:t>
      </w:r>
      <w:r w:rsidR="00BA0163" w:rsidRPr="009C34E8">
        <w:rPr>
          <w:color w:val="000000"/>
        </w:rPr>
        <w:t xml:space="preserve">азличного содержания целевой фазы </w:t>
      </w:r>
      <w:proofErr w:type="spellStart"/>
      <w:r w:rsidR="00BA0163" w:rsidRPr="009C34E8">
        <w:rPr>
          <w:color w:val="000000"/>
          <w:lang w:val="en-US"/>
        </w:rPr>
        <w:t>YCoO</w:t>
      </w:r>
      <w:proofErr w:type="spellEnd"/>
      <w:r w:rsidR="00BA0163" w:rsidRPr="009C34E8">
        <w:rPr>
          <w:color w:val="000000"/>
          <w:vertAlign w:val="subscript"/>
        </w:rPr>
        <w:t>3</w:t>
      </w:r>
      <w:r w:rsidR="00926CBE" w:rsidRPr="009C34E8">
        <w:rPr>
          <w:color w:val="000000"/>
        </w:rPr>
        <w:t xml:space="preserve"> в зависимости от метода получения.</w:t>
      </w:r>
    </w:p>
    <w:p w:rsidR="00BA0163" w:rsidRDefault="00BA0163" w:rsidP="00926CBE">
      <w:pPr>
        <w:shd w:val="clear" w:color="auto" w:fill="FFFFFF"/>
        <w:ind w:firstLine="426"/>
        <w:jc w:val="both"/>
        <w:rPr>
          <w:color w:val="000000"/>
        </w:rPr>
      </w:pPr>
      <w:r w:rsidRPr="009C34E8">
        <w:rPr>
          <w:color w:val="000000"/>
        </w:rPr>
        <w:t>В дальнейшем планируется исследование полученных оксидных</w:t>
      </w:r>
      <w:r w:rsidRPr="00BA0163">
        <w:rPr>
          <w:color w:val="000000"/>
        </w:rPr>
        <w:t xml:space="preserve"> систем как катализаторов реакции ККМ</w:t>
      </w:r>
      <w:r w:rsidR="00895829">
        <w:rPr>
          <w:color w:val="000000"/>
        </w:rPr>
        <w:t xml:space="preserve"> и УКМ</w:t>
      </w:r>
      <w:r w:rsidRPr="00BA0163">
        <w:rPr>
          <w:color w:val="000000"/>
        </w:rPr>
        <w:t>.</w:t>
      </w:r>
    </w:p>
    <w:p w:rsidR="00130241" w:rsidRPr="009D260E" w:rsidRDefault="00EB1F49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E81D35" w:rsidRDefault="00107AA3" w:rsidP="00107AA3">
      <w:pPr>
        <w:shd w:val="clear" w:color="auto" w:fill="FFFFFF"/>
        <w:jc w:val="both"/>
        <w:rPr>
          <w:color w:val="000000"/>
          <w:lang w:val="en-US"/>
        </w:rPr>
      </w:pPr>
      <w:r w:rsidRPr="00811743">
        <w:rPr>
          <w:color w:val="000000"/>
          <w:lang w:val="en-US"/>
        </w:rPr>
        <w:t xml:space="preserve">1. </w:t>
      </w:r>
      <w:r w:rsidR="00885738" w:rsidRPr="00885738">
        <w:rPr>
          <w:color w:val="222222"/>
          <w:shd w:val="clear" w:color="auto" w:fill="FFFFFF"/>
          <w:lang w:val="en-US"/>
        </w:rPr>
        <w:t>Gavrikov</w:t>
      </w:r>
      <w:r w:rsidR="00885738" w:rsidRPr="00811743">
        <w:rPr>
          <w:color w:val="222222"/>
          <w:shd w:val="clear" w:color="auto" w:fill="FFFFFF"/>
          <w:lang w:val="en-US"/>
        </w:rPr>
        <w:t xml:space="preserve"> </w:t>
      </w:r>
      <w:r w:rsidR="00885738" w:rsidRPr="00885738">
        <w:rPr>
          <w:color w:val="222222"/>
          <w:shd w:val="clear" w:color="auto" w:fill="FFFFFF"/>
          <w:lang w:val="en-US"/>
        </w:rPr>
        <w:t>A</w:t>
      </w:r>
      <w:r w:rsidR="00885738" w:rsidRPr="00811743">
        <w:rPr>
          <w:color w:val="222222"/>
          <w:shd w:val="clear" w:color="auto" w:fill="FFFFFF"/>
          <w:lang w:val="en-US"/>
        </w:rPr>
        <w:t xml:space="preserve">. </w:t>
      </w:r>
      <w:r w:rsidR="00885738" w:rsidRPr="00885738">
        <w:rPr>
          <w:color w:val="222222"/>
          <w:shd w:val="clear" w:color="auto" w:fill="FFFFFF"/>
          <w:lang w:val="en-US"/>
        </w:rPr>
        <w:t>V</w:t>
      </w:r>
      <w:r w:rsidR="00885738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r w:rsidR="00BA2CD9" w:rsidRPr="00BA2CD9">
        <w:rPr>
          <w:color w:val="222222"/>
          <w:shd w:val="clear" w:color="auto" w:fill="FFFFFF"/>
          <w:lang w:val="en-US"/>
        </w:rPr>
        <w:t>Loktev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S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r w:rsidR="00BA2CD9" w:rsidRPr="00BA2CD9">
        <w:rPr>
          <w:color w:val="222222"/>
          <w:shd w:val="clear" w:color="auto" w:fill="FFFFFF"/>
          <w:lang w:val="en-US"/>
        </w:rPr>
        <w:t>Ilyukhin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B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r w:rsidR="00BA2CD9" w:rsidRPr="00BA2CD9">
        <w:rPr>
          <w:color w:val="222222"/>
          <w:shd w:val="clear" w:color="auto" w:fill="FFFFFF"/>
          <w:lang w:val="en-US"/>
        </w:rPr>
        <w:t>Mukhin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I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E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r w:rsidR="00BA2CD9" w:rsidRPr="00BA2CD9">
        <w:rPr>
          <w:color w:val="222222"/>
          <w:shd w:val="clear" w:color="auto" w:fill="FFFFFF"/>
          <w:lang w:val="en-US"/>
        </w:rPr>
        <w:t>Bykov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M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r w:rsidR="00BA2CD9" w:rsidRPr="00BA2CD9">
        <w:rPr>
          <w:color w:val="222222"/>
          <w:shd w:val="clear" w:color="auto" w:fill="FFFFFF"/>
          <w:lang w:val="en-US"/>
        </w:rPr>
        <w:t>Maslakov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K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I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BA2CD9" w:rsidRPr="00BA2CD9">
        <w:rPr>
          <w:color w:val="222222"/>
          <w:shd w:val="clear" w:color="auto" w:fill="FFFFFF"/>
          <w:lang w:val="en-US"/>
        </w:rPr>
        <w:t>Vorobei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M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BA2CD9" w:rsidRPr="00BA2CD9">
        <w:rPr>
          <w:color w:val="222222"/>
          <w:shd w:val="clear" w:color="auto" w:fill="FFFFFF"/>
          <w:lang w:val="en-US"/>
        </w:rPr>
        <w:t>Parenago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O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O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BA2CD9" w:rsidRPr="00811743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BA2CD9" w:rsidRPr="00BA2CD9">
        <w:rPr>
          <w:color w:val="222222"/>
          <w:shd w:val="clear" w:color="auto" w:fill="FFFFFF"/>
          <w:lang w:val="en-US"/>
        </w:rPr>
        <w:t>Sadovnikov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>.,</w:t>
      </w:r>
      <w:r w:rsidR="00BA2CD9" w:rsidRPr="00811743">
        <w:rPr>
          <w:color w:val="222222"/>
          <w:shd w:val="clear" w:color="auto" w:fill="FFFFFF"/>
          <w:lang w:val="en-US"/>
        </w:rPr>
        <w:t xml:space="preserve"> </w:t>
      </w:r>
      <w:r w:rsidR="00BA2CD9" w:rsidRPr="00BA2CD9">
        <w:rPr>
          <w:color w:val="222222"/>
          <w:shd w:val="clear" w:color="auto" w:fill="FFFFFF"/>
          <w:lang w:val="en-US"/>
        </w:rPr>
        <w:t>Dedov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A.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 xml:space="preserve">G. </w:t>
      </w:r>
      <w:r w:rsidR="00885738" w:rsidRPr="00885738">
        <w:rPr>
          <w:color w:val="222222"/>
          <w:shd w:val="clear" w:color="auto" w:fill="FFFFFF"/>
          <w:lang w:val="en-US"/>
        </w:rPr>
        <w:t>Supercritical fluid-assisted modification combined with the resynthesis of SmCoO</w:t>
      </w:r>
      <w:r w:rsidR="00885738" w:rsidRPr="00885738">
        <w:rPr>
          <w:color w:val="222222"/>
          <w:shd w:val="clear" w:color="auto" w:fill="FFFFFF"/>
          <w:vertAlign w:val="subscript"/>
          <w:lang w:val="en-US"/>
        </w:rPr>
        <w:t>3</w:t>
      </w:r>
      <w:r w:rsidR="00885738" w:rsidRPr="00885738">
        <w:rPr>
          <w:color w:val="222222"/>
          <w:shd w:val="clear" w:color="auto" w:fill="FFFFFF"/>
          <w:lang w:val="en-US"/>
        </w:rPr>
        <w:t xml:space="preserve"> as an effective tool to enhance the long-term performance of SmCoO</w:t>
      </w:r>
      <w:r w:rsidR="00885738" w:rsidRPr="00885738">
        <w:rPr>
          <w:color w:val="222222"/>
          <w:shd w:val="clear" w:color="auto" w:fill="FFFFFF"/>
          <w:vertAlign w:val="subscript"/>
          <w:lang w:val="en-US"/>
        </w:rPr>
        <w:t>3</w:t>
      </w:r>
      <w:r w:rsidR="00885738" w:rsidRPr="00885738">
        <w:rPr>
          <w:color w:val="222222"/>
          <w:shd w:val="clear" w:color="auto" w:fill="FFFFFF"/>
          <w:lang w:val="en-US"/>
        </w:rPr>
        <w:t>-derived catalysts for the dry reforming of methan</w:t>
      </w:r>
      <w:r w:rsidR="00885738">
        <w:rPr>
          <w:color w:val="222222"/>
          <w:shd w:val="clear" w:color="auto" w:fill="FFFFFF"/>
          <w:lang w:val="en-US"/>
        </w:rPr>
        <w:t>e to syngas //</w:t>
      </w:r>
      <w:r w:rsidR="00885738" w:rsidRPr="00885738">
        <w:rPr>
          <w:color w:val="222222"/>
          <w:shd w:val="clear" w:color="auto" w:fill="FFFFFF"/>
          <w:lang w:val="en-US"/>
        </w:rPr>
        <w:t xml:space="preserve"> </w:t>
      </w:r>
      <w:r w:rsidR="00885738">
        <w:rPr>
          <w:color w:val="222222"/>
          <w:shd w:val="clear" w:color="auto" w:fill="FFFFFF"/>
          <w:lang w:val="en-US"/>
        </w:rPr>
        <w:t>Dalton</w:t>
      </w:r>
      <w:r w:rsidR="009D260E" w:rsidRPr="009D260E">
        <w:rPr>
          <w:color w:val="222222"/>
          <w:shd w:val="clear" w:color="auto" w:fill="FFFFFF"/>
          <w:lang w:val="en-US"/>
        </w:rPr>
        <w:t>.</w:t>
      </w:r>
      <w:r w:rsidR="00885738">
        <w:rPr>
          <w:color w:val="222222"/>
          <w:shd w:val="clear" w:color="auto" w:fill="FFFFFF"/>
          <w:lang w:val="en-US"/>
        </w:rPr>
        <w:t xml:space="preserve"> Trans</w:t>
      </w:r>
      <w:r w:rsidR="00885738" w:rsidRPr="00885738">
        <w:rPr>
          <w:color w:val="222222"/>
          <w:shd w:val="clear" w:color="auto" w:fill="FFFFFF"/>
          <w:lang w:val="en-US"/>
        </w:rPr>
        <w:t>. 2022. Vol. 51</w:t>
      </w:r>
      <w:r w:rsidR="00BA2CD9" w:rsidRPr="009D260E">
        <w:rPr>
          <w:color w:val="222222"/>
          <w:shd w:val="clear" w:color="auto" w:fill="FFFFFF"/>
          <w:lang w:val="en-US"/>
        </w:rPr>
        <w:t>, №</w:t>
      </w:r>
      <w:r w:rsidR="00885738" w:rsidRPr="004E5626">
        <w:rPr>
          <w:color w:val="222222"/>
          <w:shd w:val="clear" w:color="auto" w:fill="FFFFFF"/>
          <w:lang w:val="en-US"/>
        </w:rPr>
        <w:t>48.</w:t>
      </w:r>
      <w:r w:rsidR="00885738">
        <w:rPr>
          <w:color w:val="222222"/>
          <w:shd w:val="clear" w:color="auto" w:fill="FFFFFF"/>
          <w:lang w:val="en-US"/>
        </w:rPr>
        <w:t xml:space="preserve"> </w:t>
      </w:r>
      <w:r w:rsidR="00885738" w:rsidRPr="00885738">
        <w:rPr>
          <w:color w:val="222222"/>
          <w:shd w:val="clear" w:color="auto" w:fill="FFFFFF"/>
          <w:lang w:val="en-US"/>
        </w:rPr>
        <w:t>P. 18446-18461.</w:t>
      </w:r>
    </w:p>
    <w:p w:rsidR="00926CBE" w:rsidRPr="00885738" w:rsidRDefault="00107AA3" w:rsidP="00885738">
      <w:pP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885738" w:rsidRPr="00885738">
        <w:rPr>
          <w:color w:val="222222"/>
          <w:shd w:val="clear" w:color="auto" w:fill="FFFFFF"/>
          <w:lang w:val="en-US"/>
        </w:rPr>
        <w:t>Gavrikov A. V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r w:rsidR="00811743" w:rsidRPr="00BA2CD9">
        <w:rPr>
          <w:color w:val="222222"/>
          <w:shd w:val="clear" w:color="auto" w:fill="FFFFFF"/>
          <w:lang w:val="en-US"/>
        </w:rPr>
        <w:t>Loktev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S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r w:rsidR="00811743" w:rsidRPr="00BA2CD9">
        <w:rPr>
          <w:color w:val="222222"/>
          <w:shd w:val="clear" w:color="auto" w:fill="FFFFFF"/>
          <w:lang w:val="en-US"/>
        </w:rPr>
        <w:t>Ilyukhin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B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r w:rsidR="00811743" w:rsidRPr="00BA2CD9">
        <w:rPr>
          <w:color w:val="222222"/>
          <w:shd w:val="clear" w:color="auto" w:fill="FFFFFF"/>
          <w:lang w:val="en-US"/>
        </w:rPr>
        <w:t>Mukhin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I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E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r w:rsidR="00811743" w:rsidRPr="00BA2CD9">
        <w:rPr>
          <w:color w:val="222222"/>
          <w:shd w:val="clear" w:color="auto" w:fill="FFFFFF"/>
          <w:lang w:val="en-US"/>
        </w:rPr>
        <w:t>Bykov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M</w:t>
      </w:r>
      <w:r w:rsidR="00811743" w:rsidRPr="00811743">
        <w:rPr>
          <w:color w:val="222222"/>
          <w:shd w:val="clear" w:color="auto" w:fill="FFFFFF"/>
          <w:lang w:val="en-US"/>
        </w:rPr>
        <w:t>.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proofErr w:type="spellStart"/>
      <w:r w:rsidR="00811743" w:rsidRPr="00BA2CD9">
        <w:rPr>
          <w:color w:val="222222"/>
          <w:shd w:val="clear" w:color="auto" w:fill="FFFFFF"/>
          <w:lang w:val="en-US"/>
        </w:rPr>
        <w:t>Vorobei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M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proofErr w:type="spellStart"/>
      <w:r w:rsidR="00811743" w:rsidRPr="00BA2CD9">
        <w:rPr>
          <w:color w:val="222222"/>
          <w:shd w:val="clear" w:color="auto" w:fill="FFFFFF"/>
          <w:lang w:val="en-US"/>
        </w:rPr>
        <w:t>Parenago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O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O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proofErr w:type="spellStart"/>
      <w:r w:rsidR="00811743" w:rsidRPr="00811743">
        <w:rPr>
          <w:color w:val="222222"/>
          <w:shd w:val="clear" w:color="auto" w:fill="FFFFFF"/>
          <w:lang w:val="en-US"/>
        </w:rPr>
        <w:t>Cherednichenko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K. A., </w:t>
      </w:r>
      <w:proofErr w:type="spellStart"/>
      <w:r w:rsidR="00811743" w:rsidRPr="00BA2CD9">
        <w:rPr>
          <w:color w:val="222222"/>
          <w:shd w:val="clear" w:color="auto" w:fill="FFFFFF"/>
          <w:lang w:val="en-US"/>
        </w:rPr>
        <w:t>Sadovnikov</w:t>
      </w:r>
      <w:proofErr w:type="spellEnd"/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 </w:t>
      </w:r>
      <w:r w:rsidR="00811743" w:rsidRPr="00BA2CD9">
        <w:rPr>
          <w:color w:val="222222"/>
          <w:shd w:val="clear" w:color="auto" w:fill="FFFFFF"/>
          <w:lang w:val="en-US"/>
        </w:rPr>
        <w:t>A</w:t>
      </w:r>
      <w:r w:rsidR="00811743" w:rsidRPr="00811743">
        <w:rPr>
          <w:color w:val="222222"/>
          <w:shd w:val="clear" w:color="auto" w:fill="FFFFFF"/>
          <w:lang w:val="en-US"/>
        </w:rPr>
        <w:t xml:space="preserve">., </w:t>
      </w:r>
      <w:r w:rsidR="00811743" w:rsidRPr="00BA2CD9">
        <w:rPr>
          <w:color w:val="222222"/>
          <w:shd w:val="clear" w:color="auto" w:fill="FFFFFF"/>
          <w:lang w:val="en-US"/>
        </w:rPr>
        <w:t>Dedov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>A.</w:t>
      </w:r>
      <w:r w:rsidR="00811743" w:rsidRPr="00811743">
        <w:rPr>
          <w:color w:val="222222"/>
          <w:shd w:val="clear" w:color="auto" w:fill="FFFFFF"/>
          <w:lang w:val="en-US"/>
        </w:rPr>
        <w:t xml:space="preserve"> </w:t>
      </w:r>
      <w:r w:rsidR="00811743" w:rsidRPr="00BA2CD9">
        <w:rPr>
          <w:color w:val="222222"/>
          <w:shd w:val="clear" w:color="auto" w:fill="FFFFFF"/>
          <w:lang w:val="en-US"/>
        </w:rPr>
        <w:t xml:space="preserve">G. </w:t>
      </w:r>
      <w:r w:rsidR="00885738" w:rsidRPr="00885738">
        <w:rPr>
          <w:color w:val="222222"/>
          <w:shd w:val="clear" w:color="auto" w:fill="FFFFFF"/>
          <w:lang w:val="en-US"/>
        </w:rPr>
        <w:t>Partial oxidation of methane to syngas over SmCoO</w:t>
      </w:r>
      <w:r w:rsidR="00885738" w:rsidRPr="00885738">
        <w:rPr>
          <w:color w:val="222222"/>
          <w:shd w:val="clear" w:color="auto" w:fill="FFFFFF"/>
          <w:vertAlign w:val="subscript"/>
          <w:lang w:val="en-US"/>
        </w:rPr>
        <w:t>3</w:t>
      </w:r>
      <w:r w:rsidR="00885738" w:rsidRPr="00885738">
        <w:rPr>
          <w:color w:val="222222"/>
          <w:shd w:val="clear" w:color="auto" w:fill="FFFFFF"/>
          <w:lang w:val="en-US"/>
        </w:rPr>
        <w:t>-derived catalysts: the effect of the supercritical fluid assisted modification of the per</w:t>
      </w:r>
      <w:r w:rsidR="00885738">
        <w:rPr>
          <w:color w:val="222222"/>
          <w:shd w:val="clear" w:color="auto" w:fill="FFFFFF"/>
          <w:lang w:val="en-US"/>
        </w:rPr>
        <w:t>ovskite precursor //</w:t>
      </w:r>
      <w:r w:rsidR="00885738" w:rsidRPr="00885738">
        <w:rPr>
          <w:color w:val="222222"/>
          <w:shd w:val="clear" w:color="auto" w:fill="FFFFFF"/>
          <w:lang w:val="en-US"/>
        </w:rPr>
        <w:t xml:space="preserve"> </w:t>
      </w:r>
      <w:r w:rsidR="00885738">
        <w:rPr>
          <w:color w:val="222222"/>
          <w:shd w:val="clear" w:color="auto" w:fill="FFFFFF"/>
          <w:lang w:val="en-US"/>
        </w:rPr>
        <w:t xml:space="preserve">Int. J. </w:t>
      </w:r>
      <w:proofErr w:type="spellStart"/>
      <w:r w:rsidR="00885738">
        <w:rPr>
          <w:color w:val="222222"/>
          <w:shd w:val="clear" w:color="auto" w:fill="FFFFFF"/>
          <w:lang w:val="en-US"/>
        </w:rPr>
        <w:t>Hydrog</w:t>
      </w:r>
      <w:proofErr w:type="spellEnd"/>
      <w:r w:rsidR="00967D18" w:rsidRPr="00967D18">
        <w:rPr>
          <w:color w:val="222222"/>
          <w:shd w:val="clear" w:color="auto" w:fill="FFFFFF"/>
          <w:lang w:val="en-US"/>
        </w:rPr>
        <w:t>.</w:t>
      </w:r>
      <w:r w:rsidR="00885738">
        <w:rPr>
          <w:color w:val="222222"/>
          <w:shd w:val="clear" w:color="auto" w:fill="FFFFFF"/>
          <w:lang w:val="en-US"/>
        </w:rPr>
        <w:t xml:space="preserve"> Energy. 2023. Vol. 48</w:t>
      </w:r>
      <w:r w:rsidR="00BA2CD9" w:rsidRPr="00811743">
        <w:rPr>
          <w:color w:val="222222"/>
          <w:shd w:val="clear" w:color="auto" w:fill="FFFFFF"/>
          <w:lang w:val="en-US"/>
        </w:rPr>
        <w:t>, №</w:t>
      </w:r>
      <w:r w:rsidR="00885738" w:rsidRPr="00885738">
        <w:rPr>
          <w:color w:val="222222"/>
          <w:shd w:val="clear" w:color="auto" w:fill="FFFFFF"/>
          <w:lang w:val="en-US"/>
        </w:rPr>
        <w:t>8.</w:t>
      </w:r>
      <w:r w:rsidR="00885738">
        <w:rPr>
          <w:color w:val="222222"/>
          <w:shd w:val="clear" w:color="auto" w:fill="FFFFFF"/>
          <w:lang w:val="en-US"/>
        </w:rPr>
        <w:t xml:space="preserve"> P</w:t>
      </w:r>
      <w:r w:rsidR="00885738" w:rsidRPr="00885738">
        <w:rPr>
          <w:color w:val="222222"/>
          <w:shd w:val="clear" w:color="auto" w:fill="FFFFFF"/>
          <w:lang w:val="en-US"/>
        </w:rPr>
        <w:t>. 2998-3012.</w:t>
      </w:r>
    </w:p>
    <w:sectPr w:rsidR="00926CBE" w:rsidRPr="00885738" w:rsidSect="001B0819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8372967">
    <w:abstractNumId w:val="2"/>
  </w:num>
  <w:num w:numId="2" w16cid:durableId="1999991508">
    <w:abstractNumId w:val="3"/>
  </w:num>
  <w:num w:numId="3" w16cid:durableId="1858500195">
    <w:abstractNumId w:val="1"/>
  </w:num>
  <w:num w:numId="4" w16cid:durableId="8739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0819"/>
    <w:rsid w:val="001E61C2"/>
    <w:rsid w:val="001F0493"/>
    <w:rsid w:val="0022260A"/>
    <w:rsid w:val="002264EE"/>
    <w:rsid w:val="0023307C"/>
    <w:rsid w:val="002637CA"/>
    <w:rsid w:val="002B1CD0"/>
    <w:rsid w:val="002B23FD"/>
    <w:rsid w:val="0031361E"/>
    <w:rsid w:val="00330D43"/>
    <w:rsid w:val="00344930"/>
    <w:rsid w:val="00373E2D"/>
    <w:rsid w:val="00391C38"/>
    <w:rsid w:val="003B2730"/>
    <w:rsid w:val="003B76D6"/>
    <w:rsid w:val="003D09AD"/>
    <w:rsid w:val="003E2601"/>
    <w:rsid w:val="003F4E6B"/>
    <w:rsid w:val="0044374D"/>
    <w:rsid w:val="0047295B"/>
    <w:rsid w:val="004A26A3"/>
    <w:rsid w:val="004E5626"/>
    <w:rsid w:val="004F0EDF"/>
    <w:rsid w:val="00522BF1"/>
    <w:rsid w:val="00555962"/>
    <w:rsid w:val="00560A0D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11743"/>
    <w:rsid w:val="00854E26"/>
    <w:rsid w:val="00885738"/>
    <w:rsid w:val="008931BE"/>
    <w:rsid w:val="00895829"/>
    <w:rsid w:val="008C67E3"/>
    <w:rsid w:val="00914205"/>
    <w:rsid w:val="00921D45"/>
    <w:rsid w:val="00926CBE"/>
    <w:rsid w:val="009426C0"/>
    <w:rsid w:val="00967D18"/>
    <w:rsid w:val="00980A65"/>
    <w:rsid w:val="009A66DB"/>
    <w:rsid w:val="009B2F80"/>
    <w:rsid w:val="009B3300"/>
    <w:rsid w:val="009C34E8"/>
    <w:rsid w:val="009D260E"/>
    <w:rsid w:val="009F3380"/>
    <w:rsid w:val="00A02163"/>
    <w:rsid w:val="00A314FE"/>
    <w:rsid w:val="00A7148E"/>
    <w:rsid w:val="00A819F7"/>
    <w:rsid w:val="00AA1D62"/>
    <w:rsid w:val="00AD7380"/>
    <w:rsid w:val="00BA0163"/>
    <w:rsid w:val="00BA2CD9"/>
    <w:rsid w:val="00BF36F8"/>
    <w:rsid w:val="00BF4622"/>
    <w:rsid w:val="00C3527D"/>
    <w:rsid w:val="00C36346"/>
    <w:rsid w:val="00C844E2"/>
    <w:rsid w:val="00CB0D34"/>
    <w:rsid w:val="00CD00B1"/>
    <w:rsid w:val="00CD5777"/>
    <w:rsid w:val="00CF02CA"/>
    <w:rsid w:val="00D22306"/>
    <w:rsid w:val="00D35B01"/>
    <w:rsid w:val="00D37D84"/>
    <w:rsid w:val="00D42542"/>
    <w:rsid w:val="00D72581"/>
    <w:rsid w:val="00D8121C"/>
    <w:rsid w:val="00DA220E"/>
    <w:rsid w:val="00DD47C4"/>
    <w:rsid w:val="00DF2AF0"/>
    <w:rsid w:val="00E22189"/>
    <w:rsid w:val="00E74069"/>
    <w:rsid w:val="00E81D35"/>
    <w:rsid w:val="00EB1F49"/>
    <w:rsid w:val="00EB7390"/>
    <w:rsid w:val="00F55054"/>
    <w:rsid w:val="00F67F17"/>
    <w:rsid w:val="00F865B3"/>
    <w:rsid w:val="00F92A84"/>
    <w:rsid w:val="00F94D54"/>
    <w:rsid w:val="00FA2140"/>
    <w:rsid w:val="00FB1509"/>
    <w:rsid w:val="00FB6167"/>
    <w:rsid w:val="00FD32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79DC5"/>
  <w14:defaultImageDpi w14:val="0"/>
  <w15:docId w15:val="{62ECD20A-26E5-4A4F-A4FB-7EE1CE06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3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1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basedOn w:val="a0"/>
    <w:uiPriority w:val="99"/>
    <w:unhideWhenUsed/>
    <w:rsid w:val="00F865B3"/>
    <w:rPr>
      <w:rFonts w:cs="Times New Roman"/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A8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A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58F284-757A-4E04-81DF-F98E6A1A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Corsair PC</dc:creator>
  <cp:keywords/>
  <dc:description/>
  <cp:lastModifiedBy>Andrey Dobrovolskii</cp:lastModifiedBy>
  <cp:revision>4</cp:revision>
  <cp:lastPrinted>2026-03-02T12:08:00Z</cp:lastPrinted>
  <dcterms:created xsi:type="dcterms:W3CDTF">2026-03-17T12:01:00Z</dcterms:created>
  <dcterms:modified xsi:type="dcterms:W3CDTF">2026-03-17T13:48:00Z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