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7C8B3BF" w:rsidR="00130241" w:rsidRPr="00465F28" w:rsidRDefault="00465F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условий синтеза</w:t>
      </w:r>
      <w:r w:rsidRPr="00465F28">
        <w:rPr>
          <w:b/>
          <w:color w:val="000000"/>
        </w:rPr>
        <w:t xml:space="preserve"> н</w:t>
      </w:r>
      <w:r>
        <w:rPr>
          <w:b/>
          <w:color w:val="000000"/>
        </w:rPr>
        <w:t xml:space="preserve">а свойства </w:t>
      </w:r>
      <w:proofErr w:type="spellStart"/>
      <w:r>
        <w:rPr>
          <w:b/>
          <w:color w:val="000000"/>
        </w:rPr>
        <w:t>высоковольных</w:t>
      </w:r>
      <w:proofErr w:type="spellEnd"/>
      <w:r>
        <w:rPr>
          <w:b/>
          <w:color w:val="000000"/>
        </w:rPr>
        <w:t xml:space="preserve"> катодных материалов на основе Li</w:t>
      </w:r>
      <w:proofErr w:type="spellStart"/>
      <w:r>
        <w:rPr>
          <w:b/>
          <w:color w:val="000000"/>
          <w:lang w:val="en-US"/>
        </w:rPr>
        <w:t>CoO</w:t>
      </w:r>
      <w:proofErr w:type="spellEnd"/>
      <w:r w:rsidRPr="00465F28">
        <w:rPr>
          <w:b/>
          <w:color w:val="000000"/>
          <w:vertAlign w:val="subscript"/>
        </w:rPr>
        <w:t>2</w:t>
      </w:r>
      <w:r w:rsidRPr="00465F28">
        <w:rPr>
          <w:b/>
          <w:color w:val="000000"/>
        </w:rPr>
        <w:t xml:space="preserve"> </w:t>
      </w:r>
    </w:p>
    <w:p w14:paraId="00000002" w14:textId="7AD31893" w:rsidR="00130241" w:rsidRDefault="00465F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Шиловских Э.Э., Ситникова Л.А., Савина</w:t>
      </w:r>
      <w:r w:rsidR="00941761" w:rsidRPr="00941761">
        <w:rPr>
          <w:b/>
          <w:i/>
          <w:color w:val="000000"/>
        </w:rPr>
        <w:t xml:space="preserve"> А</w:t>
      </w:r>
      <w:r w:rsidR="00941761">
        <w:rPr>
          <w:b/>
          <w:i/>
          <w:color w:val="000000"/>
        </w:rPr>
        <w:t>.А.</w:t>
      </w:r>
      <w:r>
        <w:rPr>
          <w:b/>
          <w:i/>
          <w:color w:val="000000"/>
        </w:rPr>
        <w:t>, Абакумов А.М.</w:t>
      </w:r>
    </w:p>
    <w:p w14:paraId="00000003" w14:textId="63D5804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465F28" w:rsidRPr="00465F2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465F28">
        <w:rPr>
          <w:i/>
          <w:color w:val="000000"/>
        </w:rPr>
        <w:t>магистратуры</w:t>
      </w:r>
    </w:p>
    <w:p w14:paraId="00000007" w14:textId="301C0398" w:rsidR="00130241" w:rsidRPr="000E334E" w:rsidRDefault="00465F28" w:rsidP="00465F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0D39">
        <w:rPr>
          <w:i/>
          <w:color w:val="000000"/>
        </w:rPr>
        <w:t>Сколковский институт науки и технологий</w:t>
      </w:r>
      <w:r>
        <w:rPr>
          <w:i/>
          <w:color w:val="000000"/>
        </w:rPr>
        <w:t xml:space="preserve">, </w:t>
      </w:r>
      <w:r>
        <w:rPr>
          <w:i/>
          <w:color w:val="000000"/>
          <w:lang w:val="en-GB"/>
        </w:rPr>
        <w:t>CEST</w:t>
      </w:r>
      <w:r>
        <w:rPr>
          <w:i/>
          <w:color w:val="000000"/>
        </w:rPr>
        <w:t>, Москва, Россия</w:t>
      </w:r>
    </w:p>
    <w:p w14:paraId="00000008" w14:textId="1575BC46" w:rsidR="00130241" w:rsidRPr="0050576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B38F8">
        <w:rPr>
          <w:i/>
          <w:color w:val="000000"/>
          <w:lang w:val="en-US"/>
        </w:rPr>
        <w:t>E</w:t>
      </w:r>
      <w:r w:rsidR="003B76D6" w:rsidRPr="00505765">
        <w:rPr>
          <w:i/>
          <w:color w:val="000000"/>
          <w:lang w:val="en-US"/>
        </w:rPr>
        <w:t>-</w:t>
      </w:r>
      <w:r w:rsidRPr="005B38F8">
        <w:rPr>
          <w:i/>
          <w:color w:val="000000"/>
          <w:lang w:val="en-US"/>
        </w:rPr>
        <w:t>mail</w:t>
      </w:r>
      <w:r w:rsidRPr="00505765">
        <w:rPr>
          <w:i/>
          <w:color w:val="000000"/>
          <w:lang w:val="en-US"/>
        </w:rPr>
        <w:t>:</w:t>
      </w:r>
      <w:r w:rsidR="005B38F8" w:rsidRPr="00505765">
        <w:rPr>
          <w:i/>
          <w:color w:val="000000"/>
          <w:lang w:val="en-US"/>
        </w:rPr>
        <w:t xml:space="preserve"> </w:t>
      </w:r>
      <w:r w:rsidR="005B38F8" w:rsidRPr="00837317">
        <w:rPr>
          <w:i/>
          <w:u w:val="single"/>
          <w:lang w:val="en-US"/>
        </w:rPr>
        <w:t>evelina.shilovskikh@skoltech.ru</w:t>
      </w:r>
    </w:p>
    <w:p w14:paraId="1AC1ACBE" w14:textId="5134BA09" w:rsidR="006E14B9" w:rsidRPr="006E14B9" w:rsidRDefault="006E14B9" w:rsidP="006E14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proofErr w:type="spellStart"/>
      <w:r>
        <w:rPr>
          <w:color w:val="000000"/>
        </w:rPr>
        <w:t>К</w:t>
      </w:r>
      <w:r w:rsidRPr="006E14B9">
        <w:rPr>
          <w:color w:val="000000"/>
        </w:rPr>
        <w:t>обальтит</w:t>
      </w:r>
      <w:proofErr w:type="spellEnd"/>
      <w:r w:rsidRPr="006E14B9">
        <w:rPr>
          <w:color w:val="000000"/>
        </w:rPr>
        <w:t xml:space="preserve"> лития</w:t>
      </w:r>
      <w:r>
        <w:rPr>
          <w:color w:val="000000"/>
        </w:rPr>
        <w:t xml:space="preserve"> (</w:t>
      </w:r>
      <w:r w:rsidRPr="006E14B9">
        <w:rPr>
          <w:color w:val="000000"/>
        </w:rPr>
        <w:t>LiCoO</w:t>
      </w:r>
      <w:r w:rsidRPr="006E14B9">
        <w:rPr>
          <w:color w:val="000000"/>
          <w:vertAlign w:val="subscript"/>
        </w:rPr>
        <w:t>2</w:t>
      </w:r>
      <w:r>
        <w:rPr>
          <w:color w:val="000000"/>
        </w:rPr>
        <w:t xml:space="preserve"> или L</w:t>
      </w:r>
      <w:r>
        <w:rPr>
          <w:color w:val="000000"/>
          <w:lang w:val="en-US"/>
        </w:rPr>
        <w:t>CO</w:t>
      </w:r>
      <w:r>
        <w:rPr>
          <w:color w:val="000000"/>
        </w:rPr>
        <w:t xml:space="preserve">) </w:t>
      </w:r>
      <w:r w:rsidRPr="006E14B9">
        <w:rPr>
          <w:color w:val="000000"/>
        </w:rPr>
        <w:t xml:space="preserve">продолжает оставаться </w:t>
      </w:r>
      <w:r w:rsidR="003F7D7E">
        <w:rPr>
          <w:color w:val="000000"/>
        </w:rPr>
        <w:t>основным</w:t>
      </w:r>
      <w:r w:rsidR="003F7D7E" w:rsidRPr="006E14B9">
        <w:rPr>
          <w:color w:val="000000"/>
        </w:rPr>
        <w:t xml:space="preserve"> </w:t>
      </w:r>
      <w:r w:rsidRPr="006E14B9">
        <w:rPr>
          <w:color w:val="000000"/>
        </w:rPr>
        <w:t>катодным материалом для литий-ионных аккумуляторов (ЛИА)</w:t>
      </w:r>
      <w:r w:rsidR="003F7D7E">
        <w:rPr>
          <w:color w:val="000000"/>
        </w:rPr>
        <w:t>,</w:t>
      </w:r>
      <w:r w:rsidRPr="006E14B9">
        <w:rPr>
          <w:color w:val="000000"/>
        </w:rPr>
        <w:t xml:space="preserve"> </w:t>
      </w:r>
      <w:r w:rsidR="003F7D7E">
        <w:rPr>
          <w:color w:val="000000"/>
        </w:rPr>
        <w:t xml:space="preserve">используемых в </w:t>
      </w:r>
      <w:r w:rsidRPr="006E14B9">
        <w:rPr>
          <w:color w:val="000000"/>
        </w:rPr>
        <w:t>портативной электроник</w:t>
      </w:r>
      <w:r w:rsidR="003F7D7E">
        <w:rPr>
          <w:color w:val="000000"/>
        </w:rPr>
        <w:t>е</w:t>
      </w:r>
      <w:r>
        <w:rPr>
          <w:color w:val="000000"/>
        </w:rPr>
        <w:t>,</w:t>
      </w:r>
      <w:r w:rsidRPr="006E14B9">
        <w:rPr>
          <w:color w:val="000000"/>
        </w:rPr>
        <w:t xml:space="preserve"> благодаря высокой ионной и электронной проводимости,</w:t>
      </w:r>
      <w:r>
        <w:rPr>
          <w:color w:val="000000"/>
        </w:rPr>
        <w:t xml:space="preserve"> </w:t>
      </w:r>
      <w:r w:rsidRPr="006E14B9">
        <w:rPr>
          <w:color w:val="000000"/>
        </w:rPr>
        <w:t xml:space="preserve">объемной плотности энергии и </w:t>
      </w:r>
      <w:r w:rsidR="003F7D7E">
        <w:rPr>
          <w:color w:val="000000"/>
        </w:rPr>
        <w:t>стабильности при длительном электрохимическом циклировании</w:t>
      </w:r>
      <w:r w:rsidRPr="006E14B9">
        <w:rPr>
          <w:color w:val="000000"/>
        </w:rPr>
        <w:t xml:space="preserve"> [1]. Повышение напряжения заряда выше стандартного значения 4,2 В (</w:t>
      </w:r>
      <w:proofErr w:type="spellStart"/>
      <w:r w:rsidRPr="006E14B9">
        <w:rPr>
          <w:color w:val="000000"/>
        </w:rPr>
        <w:t>отн</w:t>
      </w:r>
      <w:proofErr w:type="spellEnd"/>
      <w:r w:rsidRPr="006E14B9">
        <w:rPr>
          <w:color w:val="000000"/>
        </w:rPr>
        <w:t xml:space="preserve">. Li⁺/Li) </w:t>
      </w:r>
      <w:r w:rsidR="003F7D7E">
        <w:rPr>
          <w:color w:val="000000"/>
        </w:rPr>
        <w:t>позволяет увеличить энергоемкость ЛИА</w:t>
      </w:r>
      <w:r w:rsidRPr="006E14B9">
        <w:rPr>
          <w:color w:val="000000"/>
        </w:rPr>
        <w:t xml:space="preserve">, поскольку </w:t>
      </w:r>
      <w:r w:rsidR="003F7D7E">
        <w:rPr>
          <w:color w:val="000000"/>
        </w:rPr>
        <w:t>обеспечивает</w:t>
      </w:r>
      <w:r w:rsidR="00524197">
        <w:rPr>
          <w:color w:val="000000"/>
        </w:rPr>
        <w:t xml:space="preserve"> более </w:t>
      </w:r>
      <w:r w:rsidRPr="006E14B9">
        <w:rPr>
          <w:color w:val="000000"/>
        </w:rPr>
        <w:t xml:space="preserve">высокие значения </w:t>
      </w:r>
      <w:r>
        <w:rPr>
          <w:color w:val="000000"/>
        </w:rPr>
        <w:t>разрядной ё</w:t>
      </w:r>
      <w:r w:rsidRPr="006E14B9">
        <w:rPr>
          <w:color w:val="000000"/>
        </w:rPr>
        <w:t>мкости (</w:t>
      </w:r>
      <w:r w:rsidR="00A20779" w:rsidRPr="00A20779">
        <w:rPr>
          <w:color w:val="000000"/>
        </w:rPr>
        <w:t xml:space="preserve">~200 </w:t>
      </w:r>
      <w:proofErr w:type="spellStart"/>
      <w:r w:rsidR="00A20779" w:rsidRPr="00A20779">
        <w:rPr>
          <w:color w:val="000000"/>
        </w:rPr>
        <w:t>мА·ч</w:t>
      </w:r>
      <w:proofErr w:type="spellEnd"/>
      <w:r w:rsidR="00A20779" w:rsidRPr="00A20779">
        <w:rPr>
          <w:color w:val="000000"/>
        </w:rPr>
        <w:t xml:space="preserve">/г против 140–150 </w:t>
      </w:r>
      <w:proofErr w:type="spellStart"/>
      <w:r w:rsidR="00A20779" w:rsidRPr="00A20779">
        <w:rPr>
          <w:color w:val="000000"/>
        </w:rPr>
        <w:t>мА·ч</w:t>
      </w:r>
      <w:proofErr w:type="spellEnd"/>
      <w:r w:rsidR="00A20779" w:rsidRPr="00A20779">
        <w:rPr>
          <w:color w:val="000000"/>
        </w:rPr>
        <w:t>/г в стандартном режиме</w:t>
      </w:r>
      <w:r w:rsidRPr="006E14B9">
        <w:rPr>
          <w:color w:val="000000"/>
        </w:rPr>
        <w:t xml:space="preserve">). </w:t>
      </w:r>
      <w:r w:rsidR="00A20779">
        <w:rPr>
          <w:color w:val="000000"/>
        </w:rPr>
        <w:t>Однако</w:t>
      </w:r>
      <w:r w:rsidRPr="006E14B9">
        <w:rPr>
          <w:color w:val="000000"/>
        </w:rPr>
        <w:t xml:space="preserve"> </w:t>
      </w:r>
      <w:r w:rsidR="00524197">
        <w:rPr>
          <w:color w:val="000000"/>
        </w:rPr>
        <w:t>использование</w:t>
      </w:r>
      <w:r w:rsidRPr="006E14B9">
        <w:rPr>
          <w:color w:val="000000"/>
        </w:rPr>
        <w:t xml:space="preserve"> высоковольтного LCO ограничен</w:t>
      </w:r>
      <w:r w:rsidR="00A20779">
        <w:rPr>
          <w:color w:val="000000"/>
        </w:rPr>
        <w:t>о</w:t>
      </w:r>
      <w:r w:rsidRPr="006E14B9">
        <w:rPr>
          <w:color w:val="000000"/>
        </w:rPr>
        <w:t xml:space="preserve"> быстрой </w:t>
      </w:r>
      <w:r w:rsidR="00A20779">
        <w:rPr>
          <w:color w:val="000000"/>
        </w:rPr>
        <w:t>потерей ёмкости</w:t>
      </w:r>
      <w:r w:rsidRPr="006E14B9">
        <w:rPr>
          <w:color w:val="000000"/>
        </w:rPr>
        <w:t xml:space="preserve"> и </w:t>
      </w:r>
      <w:r w:rsidR="00524197">
        <w:rPr>
          <w:color w:val="000000"/>
        </w:rPr>
        <w:t xml:space="preserve">низкой </w:t>
      </w:r>
      <w:r w:rsidRPr="006E14B9">
        <w:rPr>
          <w:color w:val="000000"/>
        </w:rPr>
        <w:t xml:space="preserve">структурной стабильностью. Механизмы, </w:t>
      </w:r>
      <w:r w:rsidR="00524197">
        <w:rPr>
          <w:color w:val="000000"/>
        </w:rPr>
        <w:t>вызывающие</w:t>
      </w:r>
      <w:r w:rsidRPr="006E14B9">
        <w:rPr>
          <w:color w:val="000000"/>
        </w:rPr>
        <w:t xml:space="preserve"> эти явлени</w:t>
      </w:r>
      <w:r w:rsidR="00524197">
        <w:rPr>
          <w:color w:val="000000"/>
        </w:rPr>
        <w:t>я</w:t>
      </w:r>
      <w:r w:rsidRPr="006E14B9">
        <w:rPr>
          <w:color w:val="000000"/>
        </w:rPr>
        <w:t xml:space="preserve">, остаются до конца не изученными и часто являются предметом дискуссий. </w:t>
      </w:r>
      <w:r w:rsidR="00524197">
        <w:rPr>
          <w:color w:val="000000"/>
        </w:rPr>
        <w:t>Несмотря на то, что данные</w:t>
      </w:r>
      <w:r w:rsidRPr="006E14B9">
        <w:rPr>
          <w:color w:val="000000"/>
        </w:rPr>
        <w:t xml:space="preserve"> недостатки связаны с микроструктурными особенностями материала (включая форму и размер первичных частиц, их </w:t>
      </w:r>
      <w:r w:rsidR="00524197">
        <w:rPr>
          <w:color w:val="000000"/>
        </w:rPr>
        <w:t xml:space="preserve">взаимное </w:t>
      </w:r>
      <w:r w:rsidRPr="006E14B9">
        <w:rPr>
          <w:color w:val="000000"/>
        </w:rPr>
        <w:t xml:space="preserve">расположение в агломератах, удельную площадь поверхности, объем и связность пор внутри агломерата, а также распределение агломератов по размерам), наблюдается недостаток систематических исследований, </w:t>
      </w:r>
      <w:r w:rsidR="00524197">
        <w:rPr>
          <w:color w:val="000000"/>
        </w:rPr>
        <w:t>связывающих</w:t>
      </w:r>
      <w:r w:rsidR="00524197" w:rsidRPr="006E14B9">
        <w:rPr>
          <w:color w:val="000000"/>
        </w:rPr>
        <w:t xml:space="preserve"> </w:t>
      </w:r>
      <w:r w:rsidRPr="006E14B9">
        <w:rPr>
          <w:color w:val="000000"/>
        </w:rPr>
        <w:t xml:space="preserve">эти </w:t>
      </w:r>
      <w:r w:rsidR="00524197">
        <w:rPr>
          <w:color w:val="000000"/>
        </w:rPr>
        <w:t>характеристики</w:t>
      </w:r>
      <w:r w:rsidR="00524197" w:rsidRPr="006E14B9">
        <w:rPr>
          <w:color w:val="000000"/>
        </w:rPr>
        <w:t xml:space="preserve"> </w:t>
      </w:r>
      <w:r w:rsidRPr="006E14B9">
        <w:rPr>
          <w:color w:val="000000"/>
        </w:rPr>
        <w:t xml:space="preserve">с </w:t>
      </w:r>
      <w:r w:rsidR="00524197">
        <w:rPr>
          <w:color w:val="000000"/>
        </w:rPr>
        <w:t>процессами деградации</w:t>
      </w:r>
      <w:r w:rsidRPr="006E14B9">
        <w:rPr>
          <w:color w:val="000000"/>
        </w:rPr>
        <w:t>.</w:t>
      </w:r>
    </w:p>
    <w:p w14:paraId="523CCA86" w14:textId="6ED1CE2C" w:rsidR="006E14B9" w:rsidRPr="006E14B9" w:rsidRDefault="006E14B9" w:rsidP="006E14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14B9">
        <w:rPr>
          <w:color w:val="000000"/>
        </w:rPr>
        <w:t>В связи с этим данная работа</w:t>
      </w:r>
      <w:r w:rsidR="00D31A9B">
        <w:rPr>
          <w:color w:val="000000"/>
        </w:rPr>
        <w:t xml:space="preserve"> посвящена</w:t>
      </w:r>
      <w:r w:rsidRPr="006E14B9">
        <w:rPr>
          <w:color w:val="000000"/>
        </w:rPr>
        <w:t xml:space="preserve"> систематическо</w:t>
      </w:r>
      <w:r w:rsidR="00D31A9B">
        <w:rPr>
          <w:color w:val="000000"/>
        </w:rPr>
        <w:t>му</w:t>
      </w:r>
      <w:r w:rsidRPr="006E14B9">
        <w:rPr>
          <w:color w:val="000000"/>
        </w:rPr>
        <w:t xml:space="preserve"> </w:t>
      </w:r>
      <w:r w:rsidR="00D31A9B">
        <w:rPr>
          <w:color w:val="000000"/>
        </w:rPr>
        <w:t>исследованию</w:t>
      </w:r>
      <w:r w:rsidR="00D31A9B" w:rsidRPr="006E14B9">
        <w:rPr>
          <w:color w:val="000000"/>
        </w:rPr>
        <w:t xml:space="preserve"> </w:t>
      </w:r>
      <w:r w:rsidRPr="006E14B9">
        <w:rPr>
          <w:color w:val="000000"/>
        </w:rPr>
        <w:t>взаимосвязи между</w:t>
      </w:r>
      <w:r w:rsidR="007605F0">
        <w:rPr>
          <w:color w:val="000000"/>
        </w:rPr>
        <w:t xml:space="preserve"> </w:t>
      </w:r>
      <w:r w:rsidR="007605F0" w:rsidRPr="007605F0">
        <w:rPr>
          <w:color w:val="000000"/>
        </w:rPr>
        <w:t>условиями синтеза</w:t>
      </w:r>
      <w:r w:rsidR="007605F0">
        <w:rPr>
          <w:color w:val="000000"/>
        </w:rPr>
        <w:t>,</w:t>
      </w:r>
      <w:r w:rsidRPr="006E14B9">
        <w:rPr>
          <w:color w:val="000000"/>
        </w:rPr>
        <w:t xml:space="preserve"> микроструктурой и электрохимическим поведением LCO. </w:t>
      </w:r>
      <w:r w:rsidR="00A20779">
        <w:rPr>
          <w:color w:val="000000"/>
        </w:rPr>
        <w:t>Для этого</w:t>
      </w:r>
      <w:r w:rsidRPr="006E14B9">
        <w:rPr>
          <w:color w:val="000000"/>
        </w:rPr>
        <w:t xml:space="preserve"> </w:t>
      </w:r>
      <w:r w:rsidR="00D31A9B">
        <w:rPr>
          <w:color w:val="000000"/>
        </w:rPr>
        <w:t xml:space="preserve">была получена </w:t>
      </w:r>
      <w:r w:rsidRPr="006E14B9">
        <w:rPr>
          <w:color w:val="000000"/>
        </w:rPr>
        <w:t>серия образцов LCO с различной морфологией как первичных частиц, так и агломератов</w:t>
      </w:r>
      <w:r w:rsidR="00D31A9B">
        <w:rPr>
          <w:color w:val="000000"/>
        </w:rPr>
        <w:t xml:space="preserve"> с помощью </w:t>
      </w:r>
      <w:r w:rsidRPr="006E14B9">
        <w:rPr>
          <w:color w:val="000000"/>
        </w:rPr>
        <w:t xml:space="preserve">микроволнового гидротермального и </w:t>
      </w:r>
      <w:proofErr w:type="spellStart"/>
      <w:r w:rsidRPr="006E14B9">
        <w:rPr>
          <w:color w:val="000000"/>
        </w:rPr>
        <w:t>сольвотермального</w:t>
      </w:r>
      <w:proofErr w:type="spellEnd"/>
      <w:r w:rsidRPr="006E14B9">
        <w:rPr>
          <w:color w:val="000000"/>
        </w:rPr>
        <w:t xml:space="preserve"> </w:t>
      </w:r>
      <w:r w:rsidR="00D31A9B">
        <w:rPr>
          <w:color w:val="000000"/>
        </w:rPr>
        <w:t xml:space="preserve">методов </w:t>
      </w:r>
      <w:r w:rsidRPr="006E14B9">
        <w:rPr>
          <w:color w:val="000000"/>
        </w:rPr>
        <w:t>синтеза. Полученные материалы были охарактеризованы с помощью порошковой рентгеновской дифракции (</w:t>
      </w:r>
      <w:r w:rsidR="00A20779">
        <w:rPr>
          <w:color w:val="000000"/>
        </w:rPr>
        <w:t>РФА</w:t>
      </w:r>
      <w:r w:rsidRPr="006E14B9">
        <w:rPr>
          <w:color w:val="000000"/>
        </w:rPr>
        <w:t>) и сканирующей электронной микроскопии (</w:t>
      </w:r>
      <w:r w:rsidR="00A20779">
        <w:rPr>
          <w:color w:val="000000"/>
        </w:rPr>
        <w:t>СЭМ</w:t>
      </w:r>
      <w:r w:rsidRPr="006E14B9">
        <w:rPr>
          <w:color w:val="000000"/>
        </w:rPr>
        <w:t xml:space="preserve">) для оценки их фазовой чистоты, морфологии частиц и структурных </w:t>
      </w:r>
      <w:r w:rsidR="006B2764">
        <w:rPr>
          <w:color w:val="000000"/>
        </w:rPr>
        <w:t>особенностей</w:t>
      </w:r>
      <w:r w:rsidRPr="006E14B9">
        <w:rPr>
          <w:color w:val="000000"/>
        </w:rPr>
        <w:t xml:space="preserve">. Электрохимические характеристики образцов </w:t>
      </w:r>
      <w:r w:rsidR="006B2764">
        <w:rPr>
          <w:color w:val="000000"/>
        </w:rPr>
        <w:t xml:space="preserve">были </w:t>
      </w:r>
      <w:r w:rsidRPr="006E14B9">
        <w:rPr>
          <w:color w:val="000000"/>
        </w:rPr>
        <w:t>оцен</w:t>
      </w:r>
      <w:r w:rsidR="006B2764">
        <w:rPr>
          <w:color w:val="000000"/>
        </w:rPr>
        <w:t>ены</w:t>
      </w:r>
      <w:r w:rsidRPr="006E14B9">
        <w:rPr>
          <w:color w:val="000000"/>
        </w:rPr>
        <w:t xml:space="preserve"> в условиях циклирования</w:t>
      </w:r>
      <w:r w:rsidR="006B2764">
        <w:rPr>
          <w:color w:val="000000"/>
        </w:rPr>
        <w:t xml:space="preserve"> при повышенных значениях напряжения</w:t>
      </w:r>
      <w:r w:rsidRPr="006E14B9">
        <w:rPr>
          <w:color w:val="000000"/>
        </w:rPr>
        <w:t xml:space="preserve"> (≥4,2</w:t>
      </w:r>
      <w:r w:rsidR="00A20779">
        <w:rPr>
          <w:color w:val="000000"/>
        </w:rPr>
        <w:t> </w:t>
      </w:r>
      <w:r w:rsidRPr="006E14B9">
        <w:rPr>
          <w:color w:val="000000"/>
        </w:rPr>
        <w:t xml:space="preserve">В </w:t>
      </w:r>
      <w:proofErr w:type="spellStart"/>
      <w:r w:rsidRPr="006E14B9">
        <w:rPr>
          <w:color w:val="000000"/>
        </w:rPr>
        <w:t>отн</w:t>
      </w:r>
      <w:proofErr w:type="spellEnd"/>
      <w:r w:rsidRPr="006E14B9">
        <w:rPr>
          <w:color w:val="000000"/>
        </w:rPr>
        <w:t xml:space="preserve">. Li⁺/Li) </w:t>
      </w:r>
      <w:r w:rsidR="006B2764">
        <w:rPr>
          <w:color w:val="000000"/>
        </w:rPr>
        <w:t>с целью сравнения</w:t>
      </w:r>
      <w:r w:rsidRPr="006E14B9">
        <w:rPr>
          <w:color w:val="000000"/>
        </w:rPr>
        <w:t xml:space="preserve"> начальной разрядной </w:t>
      </w:r>
      <w:r>
        <w:rPr>
          <w:color w:val="000000"/>
        </w:rPr>
        <w:t>ё</w:t>
      </w:r>
      <w:r w:rsidRPr="006E14B9">
        <w:rPr>
          <w:color w:val="000000"/>
        </w:rPr>
        <w:t xml:space="preserve">мкости, сохранения </w:t>
      </w:r>
      <w:r>
        <w:rPr>
          <w:color w:val="000000"/>
        </w:rPr>
        <w:t>ё</w:t>
      </w:r>
      <w:r w:rsidRPr="006E14B9">
        <w:rPr>
          <w:color w:val="000000"/>
        </w:rPr>
        <w:t xml:space="preserve">мкости </w:t>
      </w:r>
      <w:r w:rsidR="006B2764">
        <w:rPr>
          <w:color w:val="000000"/>
        </w:rPr>
        <w:t xml:space="preserve">при длительном циклировании </w:t>
      </w:r>
      <w:r w:rsidRPr="006E14B9">
        <w:rPr>
          <w:color w:val="000000"/>
        </w:rPr>
        <w:t xml:space="preserve">и мощностных характеристик. В работе будет </w:t>
      </w:r>
      <w:r w:rsidR="006B2764">
        <w:rPr>
          <w:color w:val="000000"/>
        </w:rPr>
        <w:t>показана</w:t>
      </w:r>
      <w:r w:rsidR="006B2764" w:rsidRPr="006E14B9">
        <w:rPr>
          <w:color w:val="000000"/>
        </w:rPr>
        <w:t xml:space="preserve"> </w:t>
      </w:r>
      <w:r w:rsidRPr="006E14B9">
        <w:rPr>
          <w:color w:val="000000"/>
        </w:rPr>
        <w:t xml:space="preserve">корреляция между морфологическими особенностями и степенью деградации </w:t>
      </w:r>
      <w:r w:rsidR="006B2764">
        <w:rPr>
          <w:color w:val="000000"/>
        </w:rPr>
        <w:t>емкостных характеристик</w:t>
      </w:r>
      <w:r w:rsidRPr="006E14B9">
        <w:rPr>
          <w:color w:val="000000"/>
        </w:rPr>
        <w:t>.</w:t>
      </w:r>
    </w:p>
    <w:bookmarkEnd w:id="0"/>
    <w:p w14:paraId="0000000E" w14:textId="77777777" w:rsidR="00130241" w:rsidRPr="0050576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0EE34C9" w:rsidR="00116478" w:rsidRPr="0002644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05765">
        <w:rPr>
          <w:color w:val="000000"/>
        </w:rPr>
        <w:t xml:space="preserve">1. </w:t>
      </w:r>
      <w:r w:rsidR="009764C9" w:rsidRPr="009764C9">
        <w:rPr>
          <w:color w:val="000000"/>
          <w:lang w:val="en-US"/>
        </w:rPr>
        <w:t>Wang</w:t>
      </w:r>
      <w:r w:rsidR="009764C9" w:rsidRPr="00505765">
        <w:rPr>
          <w:color w:val="000000"/>
        </w:rPr>
        <w:t xml:space="preserve"> </w:t>
      </w:r>
      <w:r w:rsidR="009764C9" w:rsidRPr="009764C9">
        <w:rPr>
          <w:color w:val="000000"/>
          <w:lang w:val="en-US"/>
        </w:rPr>
        <w:t>L</w:t>
      </w:r>
      <w:r w:rsidR="009764C9" w:rsidRPr="00505765">
        <w:rPr>
          <w:color w:val="000000"/>
        </w:rPr>
        <w:t xml:space="preserve">. </w:t>
      </w:r>
      <w:r w:rsidR="009764C9" w:rsidRPr="009764C9">
        <w:rPr>
          <w:color w:val="000000"/>
          <w:lang w:val="en-US"/>
        </w:rPr>
        <w:t>et</w:t>
      </w:r>
      <w:r w:rsidR="009764C9" w:rsidRPr="00505765">
        <w:rPr>
          <w:color w:val="000000"/>
        </w:rPr>
        <w:t xml:space="preserve"> </w:t>
      </w:r>
      <w:r w:rsidR="009764C9" w:rsidRPr="009764C9">
        <w:rPr>
          <w:color w:val="000000"/>
          <w:lang w:val="en-US"/>
        </w:rPr>
        <w:t>al</w:t>
      </w:r>
      <w:r w:rsidR="009764C9" w:rsidRPr="00505765">
        <w:rPr>
          <w:color w:val="000000"/>
        </w:rPr>
        <w:t xml:space="preserve">. </w:t>
      </w:r>
      <w:r w:rsidR="009764C9" w:rsidRPr="009764C9">
        <w:rPr>
          <w:color w:val="000000"/>
          <w:lang w:val="en-US"/>
        </w:rPr>
        <w:t>Reviving lithium cobalt oxide-based lithium secondary batteries-toward a higher energy density //Chem</w:t>
      </w:r>
      <w:r w:rsidR="0002644A" w:rsidRPr="0002644A">
        <w:rPr>
          <w:color w:val="000000"/>
          <w:lang w:val="en-US"/>
        </w:rPr>
        <w:t>.</w:t>
      </w:r>
      <w:r w:rsidR="009764C9" w:rsidRPr="009764C9">
        <w:rPr>
          <w:color w:val="000000"/>
          <w:lang w:val="en-US"/>
        </w:rPr>
        <w:t xml:space="preserve"> Soc</w:t>
      </w:r>
      <w:r w:rsidR="0002644A" w:rsidRPr="0002644A">
        <w:rPr>
          <w:color w:val="000000"/>
          <w:lang w:val="en-US"/>
        </w:rPr>
        <w:t>.</w:t>
      </w:r>
      <w:r w:rsidR="009764C9" w:rsidRPr="009764C9">
        <w:rPr>
          <w:color w:val="000000"/>
          <w:lang w:val="en-US"/>
        </w:rPr>
        <w:t xml:space="preserve"> </w:t>
      </w:r>
      <w:proofErr w:type="gramStart"/>
      <w:r w:rsidR="009764C9" w:rsidRPr="009764C9">
        <w:rPr>
          <w:color w:val="000000"/>
          <w:lang w:val="en-US"/>
        </w:rPr>
        <w:t>Rev</w:t>
      </w:r>
      <w:r w:rsidR="0002644A">
        <w:rPr>
          <w:color w:val="000000"/>
        </w:rPr>
        <w:t>.</w:t>
      </w:r>
      <w:r w:rsidR="009764C9" w:rsidRPr="009764C9">
        <w:rPr>
          <w:color w:val="000000"/>
          <w:lang w:val="en-US"/>
        </w:rPr>
        <w:t>.</w:t>
      </w:r>
      <w:proofErr w:type="gramEnd"/>
      <w:r w:rsidR="009764C9" w:rsidRPr="009764C9">
        <w:rPr>
          <w:color w:val="000000"/>
          <w:lang w:val="en-US"/>
        </w:rPr>
        <w:t xml:space="preserve"> 2018. </w:t>
      </w:r>
      <w:r w:rsidR="0002644A">
        <w:rPr>
          <w:color w:val="000000"/>
          <w:lang w:val="en-US"/>
        </w:rPr>
        <w:t xml:space="preserve">Vol. </w:t>
      </w:r>
      <w:r w:rsidR="009764C9" w:rsidRPr="009764C9">
        <w:rPr>
          <w:color w:val="000000"/>
          <w:lang w:val="en-US"/>
        </w:rPr>
        <w:t>47</w:t>
      </w:r>
      <w:r w:rsidR="0002644A">
        <w:rPr>
          <w:color w:val="000000"/>
          <w:lang w:val="en-US"/>
        </w:rPr>
        <w:t xml:space="preserve">, </w:t>
      </w:r>
      <w:r w:rsidR="009764C9" w:rsidRPr="009764C9">
        <w:rPr>
          <w:color w:val="000000"/>
          <w:lang w:val="en-US"/>
        </w:rPr>
        <w:t xml:space="preserve">№. 17. </w:t>
      </w:r>
      <w:r w:rsidR="0002644A">
        <w:rPr>
          <w:color w:val="000000"/>
          <w:lang w:val="en-US"/>
        </w:rPr>
        <w:t>P</w:t>
      </w:r>
      <w:r w:rsidR="009764C9" w:rsidRPr="009764C9">
        <w:rPr>
          <w:color w:val="000000"/>
          <w:lang w:val="en-US"/>
        </w:rPr>
        <w:t>. 6505-6602.</w:t>
      </w:r>
    </w:p>
    <w:p w14:paraId="3486C755" w14:textId="0EAEC2A6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465F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44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2730"/>
    <w:rsid w:val="003B76D6"/>
    <w:rsid w:val="003D09AD"/>
    <w:rsid w:val="003E2601"/>
    <w:rsid w:val="003F4E6B"/>
    <w:rsid w:val="003F7D7E"/>
    <w:rsid w:val="00465F28"/>
    <w:rsid w:val="004A26A3"/>
    <w:rsid w:val="004F0EDF"/>
    <w:rsid w:val="00505765"/>
    <w:rsid w:val="00522BF1"/>
    <w:rsid w:val="00524197"/>
    <w:rsid w:val="00590166"/>
    <w:rsid w:val="005B07E6"/>
    <w:rsid w:val="005B38F8"/>
    <w:rsid w:val="005D022B"/>
    <w:rsid w:val="005E5BE9"/>
    <w:rsid w:val="00665279"/>
    <w:rsid w:val="0069427D"/>
    <w:rsid w:val="006B2764"/>
    <w:rsid w:val="006E14B9"/>
    <w:rsid w:val="006F7A19"/>
    <w:rsid w:val="00705378"/>
    <w:rsid w:val="007213E1"/>
    <w:rsid w:val="007605F0"/>
    <w:rsid w:val="00775389"/>
    <w:rsid w:val="00797838"/>
    <w:rsid w:val="007C36D8"/>
    <w:rsid w:val="007F2744"/>
    <w:rsid w:val="00837317"/>
    <w:rsid w:val="008931BE"/>
    <w:rsid w:val="008C67E3"/>
    <w:rsid w:val="00914205"/>
    <w:rsid w:val="00921D45"/>
    <w:rsid w:val="00941761"/>
    <w:rsid w:val="009426C0"/>
    <w:rsid w:val="009764C9"/>
    <w:rsid w:val="00980A65"/>
    <w:rsid w:val="009A66DB"/>
    <w:rsid w:val="009B2F80"/>
    <w:rsid w:val="009B3300"/>
    <w:rsid w:val="009F3380"/>
    <w:rsid w:val="00A02163"/>
    <w:rsid w:val="00A20779"/>
    <w:rsid w:val="00A314FE"/>
    <w:rsid w:val="00AA1D62"/>
    <w:rsid w:val="00AD7380"/>
    <w:rsid w:val="00BA1B72"/>
    <w:rsid w:val="00BF36F8"/>
    <w:rsid w:val="00BF4622"/>
    <w:rsid w:val="00C36346"/>
    <w:rsid w:val="00C844E2"/>
    <w:rsid w:val="00CD00B1"/>
    <w:rsid w:val="00D22306"/>
    <w:rsid w:val="00D31A9B"/>
    <w:rsid w:val="00D37D84"/>
    <w:rsid w:val="00D42542"/>
    <w:rsid w:val="00D8121C"/>
    <w:rsid w:val="00DC49A8"/>
    <w:rsid w:val="00DD47C4"/>
    <w:rsid w:val="00E22189"/>
    <w:rsid w:val="00E74069"/>
    <w:rsid w:val="00E7585B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Savina</dc:creator>
  <cp:lastModifiedBy>Andrey Dobrovolskii</cp:lastModifiedBy>
  <cp:revision>5</cp:revision>
  <cp:lastPrinted>2026-01-28T14:24:00Z</cp:lastPrinted>
  <dcterms:created xsi:type="dcterms:W3CDTF">2026-02-26T12:07:00Z</dcterms:created>
  <dcterms:modified xsi:type="dcterms:W3CDTF">2026-03-16T17:21:00Z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