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E617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исследование свойств </w:t>
      </w:r>
      <w:proofErr w:type="spellStart"/>
      <w:r>
        <w:rPr>
          <w:b/>
          <w:color w:val="000000"/>
        </w:rPr>
        <w:t>фотосенсибилизаторов</w:t>
      </w:r>
      <w:proofErr w:type="spellEnd"/>
      <w:r>
        <w:rPr>
          <w:b/>
          <w:color w:val="000000"/>
        </w:rPr>
        <w:t xml:space="preserve"> двойного действия состава </w:t>
      </w:r>
      <w:proofErr w:type="spellStart"/>
      <w:r>
        <w:rPr>
          <w:b/>
          <w:color w:val="000000"/>
        </w:rPr>
        <w:t>субфталоцианин</w:t>
      </w:r>
      <w:proofErr w:type="spellEnd"/>
      <w:r>
        <w:rPr>
          <w:b/>
          <w:color w:val="000000"/>
        </w:rPr>
        <w:t xml:space="preserve"> бора-лекарство </w:t>
      </w:r>
    </w:p>
    <w:p w:rsidR="00130241" w:rsidRDefault="009F4D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Агранат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:rsidR="00130241" w:rsidRDefault="006478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:rsidR="00130241" w:rsidRPr="00E6176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6176C">
        <w:rPr>
          <w:i/>
          <w:color w:val="000000"/>
          <w:lang w:val="en-US"/>
        </w:rPr>
        <w:t>E</w:t>
      </w:r>
      <w:r w:rsidR="003B76D6" w:rsidRPr="00E6176C">
        <w:rPr>
          <w:i/>
          <w:color w:val="000000"/>
          <w:lang w:val="en-US"/>
        </w:rPr>
        <w:t>-</w:t>
      </w:r>
      <w:r w:rsidRPr="00E6176C">
        <w:rPr>
          <w:i/>
          <w:color w:val="000000"/>
          <w:lang w:val="en-US"/>
        </w:rPr>
        <w:t xml:space="preserve">mail: </w:t>
      </w:r>
      <w:r w:rsidR="00401558">
        <w:fldChar w:fldCharType="begin"/>
      </w:r>
      <w:r w:rsidR="00401558" w:rsidRPr="00914A42">
        <w:rPr>
          <w:lang w:val="en-US"/>
        </w:rPr>
        <w:instrText>HYPERLINK "mailto:AgranatAS@my.msu.ru"</w:instrText>
      </w:r>
      <w:r w:rsidR="00401558">
        <w:fldChar w:fldCharType="separate"/>
      </w:r>
      <w:r w:rsidR="00E0649F" w:rsidRPr="009D5AE4">
        <w:rPr>
          <w:rStyle w:val="a9"/>
          <w:i/>
          <w:lang w:val="en-US"/>
        </w:rPr>
        <w:t>AgranatAS</w:t>
      </w:r>
      <w:r w:rsidR="00E0649F" w:rsidRPr="00E6176C">
        <w:rPr>
          <w:rStyle w:val="a9"/>
          <w:i/>
          <w:lang w:val="en-US"/>
        </w:rPr>
        <w:t>@</w:t>
      </w:r>
      <w:r w:rsidR="00E0649F" w:rsidRPr="009D5AE4">
        <w:rPr>
          <w:rStyle w:val="a9"/>
          <w:i/>
          <w:lang w:val="en-US"/>
        </w:rPr>
        <w:t>my.msu</w:t>
      </w:r>
      <w:r w:rsidR="00E0649F" w:rsidRPr="00E6176C">
        <w:rPr>
          <w:rStyle w:val="a9"/>
          <w:i/>
          <w:lang w:val="en-US"/>
        </w:rPr>
        <w:t>.ru</w:t>
      </w:r>
      <w:r w:rsidR="00401558">
        <w:fldChar w:fldCharType="end"/>
      </w:r>
      <w:r w:rsidRPr="00E6176C">
        <w:rPr>
          <w:i/>
          <w:color w:val="000000"/>
          <w:lang w:val="en-US"/>
        </w:rPr>
        <w:t xml:space="preserve"> </w:t>
      </w:r>
    </w:p>
    <w:p w:rsidR="00E6176C" w:rsidRPr="005466AB" w:rsidRDefault="00E6176C" w:rsidP="00E6176C">
      <w:pPr>
        <w:ind w:firstLine="397"/>
        <w:jc w:val="both"/>
      </w:pPr>
      <w:proofErr w:type="spellStart"/>
      <w:proofErr w:type="gramStart"/>
      <w:r w:rsidRPr="005466AB">
        <w:t>Субпорфиразины</w:t>
      </w:r>
      <w:proofErr w:type="spellEnd"/>
      <w:r w:rsidRPr="005466AB">
        <w:t xml:space="preserve"> б</w:t>
      </w:r>
      <w:r>
        <w:t xml:space="preserve">ора имеют коническое строение, </w:t>
      </w:r>
      <w:r w:rsidRPr="005466AB">
        <w:t>не склонны к агрегации и прекрасно растворимы в большинстве органических растворителей.</w:t>
      </w:r>
      <w:proofErr w:type="gramEnd"/>
      <w:r w:rsidRPr="005466AB">
        <w:t xml:space="preserve"> Благодаря способности к генерации </w:t>
      </w:r>
      <w:r w:rsidRPr="004C39B3">
        <w:rPr>
          <w:vertAlign w:val="superscript"/>
        </w:rPr>
        <w:t>1</w:t>
      </w:r>
      <w:r>
        <w:t>О</w:t>
      </w:r>
      <w:r w:rsidRPr="004C39B3">
        <w:rPr>
          <w:vertAlign w:val="subscript"/>
        </w:rPr>
        <w:t>2</w:t>
      </w:r>
      <w:r w:rsidRPr="005466AB">
        <w:t xml:space="preserve"> и яркой флуоресценции данные соединения </w:t>
      </w:r>
      <w:r>
        <w:noBreakHyphen/>
      </w:r>
      <w:r w:rsidRPr="005466AB">
        <w:t xml:space="preserve"> перспективные фотосенсибилизаторы для фотодинамической терапии.</w:t>
      </w:r>
      <w:r w:rsidRPr="005E0092">
        <w:t xml:space="preserve"> </w:t>
      </w:r>
      <w:r w:rsidRPr="005466AB">
        <w:t>В рамках настоящего исследования</w:t>
      </w:r>
      <w:r>
        <w:t xml:space="preserve"> получена серия из </w:t>
      </w:r>
      <w:r w:rsidR="001B0086" w:rsidRPr="001B0086">
        <w:t>двенадцати</w:t>
      </w:r>
      <w:r w:rsidR="001B0086">
        <w:t xml:space="preserve"> </w:t>
      </w:r>
      <w:proofErr w:type="spellStart"/>
      <w:r>
        <w:t>субфталоцианиновых</w:t>
      </w:r>
      <w:proofErr w:type="spellEnd"/>
      <w:r>
        <w:t xml:space="preserve"> комплексов с различными функциональными группами. Проведено измерение их фотохимических характеристик и в качестве наиболее активных </w:t>
      </w:r>
      <w:proofErr w:type="spellStart"/>
      <w:r>
        <w:t>флуорофоров</w:t>
      </w:r>
      <w:proofErr w:type="spellEnd"/>
      <w:r>
        <w:t xml:space="preserve"> и </w:t>
      </w:r>
      <w:proofErr w:type="spellStart"/>
      <w:r>
        <w:t>фотосенсибилизаторов</w:t>
      </w:r>
      <w:proofErr w:type="spellEnd"/>
      <w:r>
        <w:t xml:space="preserve"> отобраны фенил, </w:t>
      </w:r>
      <w:proofErr w:type="spellStart"/>
      <w:r>
        <w:t>фенокси</w:t>
      </w:r>
      <w:proofErr w:type="spellEnd"/>
      <w:r>
        <w:t xml:space="preserve"> и </w:t>
      </w:r>
      <w:proofErr w:type="spellStart"/>
      <w:proofErr w:type="gramStart"/>
      <w:r w:rsidRPr="00E6176C">
        <w:rPr>
          <w:i/>
        </w:rPr>
        <w:t>трет</w:t>
      </w:r>
      <w:r>
        <w:t>-бутил</w:t>
      </w:r>
      <w:proofErr w:type="spellEnd"/>
      <w:proofErr w:type="gramEnd"/>
      <w:r>
        <w:t xml:space="preserve"> замещенные </w:t>
      </w:r>
      <w:proofErr w:type="spellStart"/>
      <w:r>
        <w:t>субфталоцианины</w:t>
      </w:r>
      <w:proofErr w:type="spellEnd"/>
      <w:r>
        <w:t xml:space="preserve"> бора. Затем для отобранных соединений </w:t>
      </w:r>
      <w:r w:rsidRPr="005466AB">
        <w:t xml:space="preserve">путем замещения аксиального атома галогена в </w:t>
      </w:r>
      <w:proofErr w:type="spellStart"/>
      <w:r w:rsidRPr="005466AB">
        <w:t>субфталоцианинах</w:t>
      </w:r>
      <w:proofErr w:type="spellEnd"/>
      <w:r w:rsidRPr="005466AB">
        <w:t xml:space="preserve"> бора на нестероидные противовоспалительные препараты (</w:t>
      </w:r>
      <w:proofErr w:type="spellStart"/>
      <w:r w:rsidRPr="005466AB">
        <w:t>диклофенак</w:t>
      </w:r>
      <w:proofErr w:type="spellEnd"/>
      <w:r w:rsidRPr="005466AB">
        <w:t xml:space="preserve">, ибупрофен, </w:t>
      </w:r>
      <w:proofErr w:type="spellStart"/>
      <w:r w:rsidRPr="005466AB">
        <w:t>кетопрофен</w:t>
      </w:r>
      <w:proofErr w:type="spellEnd"/>
      <w:r w:rsidRPr="005466AB">
        <w:t xml:space="preserve">) получена серия гибридных </w:t>
      </w:r>
      <w:proofErr w:type="spellStart"/>
      <w:r w:rsidRPr="005466AB">
        <w:t>фотосенсибилизаторов</w:t>
      </w:r>
      <w:proofErr w:type="spellEnd"/>
      <w:r w:rsidRPr="005466AB">
        <w:t xml:space="preserve">. Лекарственные препараты вводились </w:t>
      </w:r>
      <w:r>
        <w:t>для</w:t>
      </w:r>
      <w:r w:rsidRPr="005466AB">
        <w:t xml:space="preserve"> создания </w:t>
      </w:r>
      <w:proofErr w:type="spellStart"/>
      <w:r w:rsidRPr="005466AB">
        <w:t>фотосенсибилизаторов</w:t>
      </w:r>
      <w:proofErr w:type="spellEnd"/>
      <w:r w:rsidRPr="005466AB">
        <w:t xml:space="preserve"> двойного действия</w:t>
      </w:r>
      <w:r>
        <w:t xml:space="preserve"> с</w:t>
      </w:r>
      <w:r w:rsidRPr="005466AB">
        <w:t xml:space="preserve"> противовоспалительны</w:t>
      </w:r>
      <w:r>
        <w:t>м</w:t>
      </w:r>
      <w:r w:rsidRPr="005466AB">
        <w:t xml:space="preserve"> эффект</w:t>
      </w:r>
      <w:r>
        <w:t>ом</w:t>
      </w:r>
      <w:r w:rsidRPr="005466AB">
        <w:t>.</w:t>
      </w:r>
    </w:p>
    <w:p w:rsidR="00E0649F" w:rsidRPr="00F21526" w:rsidRDefault="004F5416" w:rsidP="00F21526">
      <w:pPr>
        <w:ind w:firstLine="397"/>
        <w:jc w:val="both"/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345440</wp:posOffset>
            </wp:positionH>
            <wp:positionV relativeFrom="paragraph">
              <wp:posOffset>1179195</wp:posOffset>
            </wp:positionV>
            <wp:extent cx="5191125" cy="2412365"/>
            <wp:effectExtent l="0" t="0" r="3175" b="635"/>
            <wp:wrapTopAndBottom/>
            <wp:docPr id="15711613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161357" name="Рисунок 15711613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176C">
        <w:t>П</w:t>
      </w:r>
      <w:r w:rsidR="00E6176C" w:rsidRPr="005466AB">
        <w:t xml:space="preserve">родемонстрировано наличие у синтезированных соединений </w:t>
      </w:r>
      <w:proofErr w:type="spellStart"/>
      <w:r w:rsidR="00E6176C" w:rsidRPr="005466AB">
        <w:t>субмикромолярной</w:t>
      </w:r>
      <w:proofErr w:type="spellEnd"/>
      <w:r w:rsidR="00E6176C" w:rsidRPr="005466AB">
        <w:t xml:space="preserve"> фотодинамической активности </w:t>
      </w:r>
      <w:proofErr w:type="spellStart"/>
      <w:r w:rsidR="00E6176C" w:rsidRPr="00E6176C">
        <w:rPr>
          <w:i/>
        </w:rPr>
        <w:t>in</w:t>
      </w:r>
      <w:proofErr w:type="spellEnd"/>
      <w:r w:rsidR="00E6176C" w:rsidRPr="00E6176C">
        <w:rPr>
          <w:i/>
        </w:rPr>
        <w:t xml:space="preserve"> </w:t>
      </w:r>
      <w:proofErr w:type="spellStart"/>
      <w:r w:rsidR="00E6176C" w:rsidRPr="00E6176C">
        <w:rPr>
          <w:i/>
        </w:rPr>
        <w:t>vitro</w:t>
      </w:r>
      <w:proofErr w:type="spellEnd"/>
      <w:r w:rsidR="00E6176C">
        <w:t xml:space="preserve"> при низкой </w:t>
      </w:r>
      <w:proofErr w:type="spellStart"/>
      <w:r w:rsidR="00E6176C">
        <w:t>темновой</w:t>
      </w:r>
      <w:proofErr w:type="spellEnd"/>
      <w:r w:rsidR="00E6176C">
        <w:t xml:space="preserve"> токсичности</w:t>
      </w:r>
      <w:r w:rsidR="00E6176C" w:rsidRPr="005466AB">
        <w:t xml:space="preserve">. Наилучшего результата удалось достичь для </w:t>
      </w:r>
      <w:proofErr w:type="spellStart"/>
      <w:r w:rsidR="00E6176C" w:rsidRPr="005E0092">
        <w:rPr>
          <w:i/>
        </w:rPr>
        <w:t>трет</w:t>
      </w:r>
      <w:r w:rsidR="00E6176C" w:rsidRPr="005466AB">
        <w:t>-бутил-замещенного</w:t>
      </w:r>
      <w:proofErr w:type="spellEnd"/>
      <w:r w:rsidR="00E6176C" w:rsidRPr="005466AB">
        <w:t xml:space="preserve"> </w:t>
      </w:r>
      <w:proofErr w:type="spellStart"/>
      <w:r w:rsidR="00E6176C" w:rsidRPr="005466AB">
        <w:t>субфталоцианина</w:t>
      </w:r>
      <w:proofErr w:type="spellEnd"/>
      <w:r w:rsidR="00E6176C" w:rsidRPr="005466AB">
        <w:t xml:space="preserve"> бора с а</w:t>
      </w:r>
      <w:r w:rsidR="00E6176C">
        <w:t xml:space="preserve">ксиальной молекулой </w:t>
      </w:r>
      <w:proofErr w:type="spellStart"/>
      <w:r w:rsidR="00E6176C">
        <w:t>диклофенака</w:t>
      </w:r>
      <w:proofErr w:type="spellEnd"/>
      <w:r w:rsidR="00842577" w:rsidRPr="00842577">
        <w:t xml:space="preserve"> </w:t>
      </w:r>
      <w:r w:rsidR="00842577" w:rsidRPr="00556CAC">
        <w:t>(</w:t>
      </w:r>
      <w:r w:rsidR="00842577" w:rsidRPr="00556CAC">
        <w:rPr>
          <w:lang w:val="en-US"/>
        </w:rPr>
        <w:t>IC</w:t>
      </w:r>
      <w:r w:rsidR="00842577" w:rsidRPr="00556CAC">
        <w:rPr>
          <w:vertAlign w:val="subscript"/>
        </w:rPr>
        <w:t>50</w:t>
      </w:r>
      <w:r w:rsidR="00842577" w:rsidRPr="00556CAC">
        <w:t>=</w:t>
      </w:r>
      <w:r w:rsidR="00301868" w:rsidRPr="00914A42">
        <w:t xml:space="preserve">0.4 </w:t>
      </w:r>
      <w:proofErr w:type="spellStart"/>
      <w:r w:rsidR="00301868" w:rsidRPr="00556CAC">
        <w:t>мк</w:t>
      </w:r>
      <w:r w:rsidR="00301868">
        <w:t>М</w:t>
      </w:r>
      <w:proofErr w:type="spellEnd"/>
      <w:r w:rsidR="00842577" w:rsidRPr="00842577">
        <w:t>)</w:t>
      </w:r>
      <w:r w:rsidR="00E6176C">
        <w:t xml:space="preserve">, его </w:t>
      </w:r>
      <w:proofErr w:type="spellStart"/>
      <w:r w:rsidR="00E6176C">
        <w:t>фототоксичность</w:t>
      </w:r>
      <w:proofErr w:type="spellEnd"/>
      <w:r w:rsidR="00E6176C">
        <w:t xml:space="preserve"> в 3 раза превысила </w:t>
      </w:r>
      <w:proofErr w:type="spellStart"/>
      <w:r w:rsidR="00E6176C">
        <w:t>фототоксичность</w:t>
      </w:r>
      <w:proofErr w:type="spellEnd"/>
      <w:r w:rsidR="00E6176C">
        <w:t xml:space="preserve"> проходящего клинические испытания </w:t>
      </w:r>
      <w:proofErr w:type="spellStart"/>
      <w:r w:rsidR="00E6176C">
        <w:t>фотосенсибилизатора</w:t>
      </w:r>
      <w:proofErr w:type="spellEnd"/>
      <w:r w:rsidR="00E6176C">
        <w:t xml:space="preserve"> – Бенгальского розового. </w:t>
      </w:r>
    </w:p>
    <w:p w:rsidR="00E6176C" w:rsidRDefault="00E6176C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6176C">
        <w:rPr>
          <w:color w:val="000000"/>
        </w:rPr>
        <w:t xml:space="preserve">Проведено тестирование </w:t>
      </w:r>
      <w:proofErr w:type="spellStart"/>
      <w:r w:rsidRPr="00E6176C">
        <w:rPr>
          <w:i/>
          <w:color w:val="000000"/>
        </w:rPr>
        <w:t>in</w:t>
      </w:r>
      <w:proofErr w:type="spellEnd"/>
      <w:r w:rsidRPr="00E6176C">
        <w:rPr>
          <w:i/>
          <w:color w:val="000000"/>
        </w:rPr>
        <w:t xml:space="preserve"> </w:t>
      </w:r>
      <w:proofErr w:type="spellStart"/>
      <w:r w:rsidRPr="00E6176C">
        <w:rPr>
          <w:i/>
          <w:color w:val="000000"/>
        </w:rPr>
        <w:t>vivo</w:t>
      </w:r>
      <w:proofErr w:type="spellEnd"/>
      <w:r w:rsidRPr="00E6176C">
        <w:rPr>
          <w:color w:val="000000"/>
        </w:rPr>
        <w:t>, показавшее селективность полученных соединений по отношению к ЦОГ-2, сопоставимую с исходными нестероидными противовоспалительными препаратами.</w:t>
      </w:r>
    </w:p>
    <w:p w:rsidR="00A02163" w:rsidRPr="003718B4" w:rsidRDefault="003718B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поддержке гранта РНФ </w:t>
      </w:r>
      <w:hyperlink r:id="rId7" w:history="1">
        <w:r w:rsidR="00D6478A" w:rsidRPr="00D6478A">
          <w:rPr>
            <w:i/>
            <w:iCs/>
            <w:color w:val="000000"/>
          </w:rPr>
          <w:t>23-73-10076</w:t>
        </w:r>
      </w:hyperlink>
      <w:r w:rsidR="00D6478A">
        <w:rPr>
          <w:i/>
          <w:iCs/>
          <w:color w:val="000000"/>
        </w:rPr>
        <w:t>.</w:t>
      </w:r>
    </w:p>
    <w:p w:rsidR="00130241" w:rsidRPr="00E6176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C3613E" w:rsidRDefault="00C3613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C3613E">
        <w:rPr>
          <w:color w:val="000000"/>
          <w:lang w:val="en-US"/>
        </w:rPr>
        <w:t xml:space="preserve">Alina S. </w:t>
      </w:r>
      <w:proofErr w:type="spellStart"/>
      <w:r w:rsidRPr="00C3613E">
        <w:rPr>
          <w:color w:val="000000"/>
          <w:lang w:val="en-US"/>
        </w:rPr>
        <w:t>Agranat</w:t>
      </w:r>
      <w:proofErr w:type="spellEnd"/>
      <w:r>
        <w:rPr>
          <w:color w:val="000000"/>
          <w:lang w:val="en-US"/>
        </w:rPr>
        <w:t xml:space="preserve">, </w:t>
      </w:r>
      <w:r w:rsidRPr="00C3613E">
        <w:rPr>
          <w:color w:val="000000"/>
          <w:lang w:val="en-US"/>
        </w:rPr>
        <w:t xml:space="preserve">Tatiana V. </w:t>
      </w:r>
      <w:proofErr w:type="spellStart"/>
      <w:r w:rsidRPr="00C3613E">
        <w:rPr>
          <w:color w:val="000000"/>
          <w:lang w:val="en-US"/>
        </w:rPr>
        <w:t>Dubinina</w:t>
      </w:r>
      <w:proofErr w:type="spellEnd"/>
      <w:r w:rsidR="00ED7AEC">
        <w:rPr>
          <w:color w:val="000000"/>
          <w:lang w:val="en-US"/>
        </w:rPr>
        <w:t xml:space="preserve"> et al. </w:t>
      </w:r>
      <w:r w:rsidR="00422383" w:rsidRPr="00422383">
        <w:rPr>
          <w:color w:val="000000"/>
          <w:lang w:val="en-US"/>
        </w:rPr>
        <w:t>Preparation, optical properties and photodynamic activity of p-</w:t>
      </w:r>
      <w:proofErr w:type="spellStart"/>
      <w:r w:rsidR="00422383" w:rsidRPr="00422383">
        <w:rPr>
          <w:color w:val="000000"/>
          <w:lang w:val="en-US"/>
        </w:rPr>
        <w:t>tert</w:t>
      </w:r>
      <w:proofErr w:type="spellEnd"/>
      <w:r w:rsidR="00422383" w:rsidRPr="00422383">
        <w:rPr>
          <w:color w:val="000000"/>
          <w:lang w:val="en-US"/>
        </w:rPr>
        <w:t>-</w:t>
      </w:r>
      <w:proofErr w:type="spellStart"/>
      <w:r w:rsidR="00422383" w:rsidRPr="00422383">
        <w:rPr>
          <w:color w:val="000000"/>
          <w:lang w:val="en-US"/>
        </w:rPr>
        <w:t>butylphenyl</w:t>
      </w:r>
      <w:proofErr w:type="spellEnd"/>
      <w:r w:rsidR="00422383" w:rsidRPr="00422383">
        <w:rPr>
          <w:color w:val="000000"/>
          <w:lang w:val="en-US"/>
        </w:rPr>
        <w:t xml:space="preserve">-substituted boron </w:t>
      </w:r>
      <w:proofErr w:type="spellStart"/>
      <w:r w:rsidR="00422383" w:rsidRPr="00422383">
        <w:rPr>
          <w:color w:val="000000"/>
          <w:lang w:val="en-US"/>
        </w:rPr>
        <w:t>subphthalocyanine</w:t>
      </w:r>
      <w:proofErr w:type="spellEnd"/>
      <w:r w:rsidR="00422383">
        <w:rPr>
          <w:color w:val="000000"/>
          <w:lang w:val="en-US"/>
        </w:rPr>
        <w:t xml:space="preserve"> // </w:t>
      </w:r>
      <w:r w:rsidRPr="00C3613E">
        <w:rPr>
          <w:color w:val="000000"/>
          <w:lang w:val="en-US"/>
        </w:rPr>
        <w:t>Journal of Porphyrins and Phthalocyanines</w:t>
      </w:r>
      <w:r w:rsidRPr="00C3613E">
        <w:rPr>
          <w:color w:val="000000"/>
          <w:shd w:val="clear" w:color="auto" w:fill="FFFFFF"/>
          <w:lang w:val="en-US"/>
        </w:rPr>
        <w:t> </w:t>
      </w:r>
      <w:r w:rsidRPr="00C3613E">
        <w:rPr>
          <w:color w:val="000000"/>
          <w:lang w:val="en-US"/>
        </w:rPr>
        <w:t>2025</w:t>
      </w:r>
      <w:r w:rsidRPr="00C3613E">
        <w:rPr>
          <w:color w:val="000000"/>
          <w:shd w:val="clear" w:color="auto" w:fill="FFFFFF"/>
          <w:lang w:val="en-US"/>
        </w:rPr>
        <w:t> </w:t>
      </w:r>
      <w:proofErr w:type="gramStart"/>
      <w:r w:rsidRPr="00C3613E">
        <w:rPr>
          <w:color w:val="000000"/>
          <w:lang w:val="en-US"/>
        </w:rPr>
        <w:t>29</w:t>
      </w:r>
      <w:r w:rsidR="00ED7AEC">
        <w:rPr>
          <w:color w:val="000000"/>
          <w:lang w:val="en-US"/>
        </w:rPr>
        <w:t>.</w:t>
      </w:r>
      <w:r w:rsidRPr="00C3613E">
        <w:rPr>
          <w:color w:val="000000"/>
          <w:shd w:val="clear" w:color="auto" w:fill="FFFFFF"/>
          <w:lang w:val="en-US"/>
        </w:rPr>
        <w:t>:</w:t>
      </w:r>
      <w:r w:rsidRPr="00C3613E">
        <w:rPr>
          <w:color w:val="000000"/>
          <w:lang w:val="en-US"/>
        </w:rPr>
        <w:t>0</w:t>
      </w:r>
      <w:proofErr w:type="gramEnd"/>
      <w:r w:rsidRPr="00C3613E">
        <w:rPr>
          <w:color w:val="000000"/>
          <w:lang w:val="en-US"/>
        </w:rPr>
        <w:t>5n06</w:t>
      </w:r>
      <w:r w:rsidRPr="00C3613E">
        <w:rPr>
          <w:color w:val="000000"/>
          <w:shd w:val="clear" w:color="auto" w:fill="FFFFFF"/>
          <w:lang w:val="en-US"/>
        </w:rPr>
        <w:t>, </w:t>
      </w:r>
      <w:r w:rsidRPr="00C3613E">
        <w:rPr>
          <w:color w:val="000000"/>
          <w:lang w:val="en-US"/>
        </w:rPr>
        <w:t>718-725</w:t>
      </w:r>
      <w:r w:rsidR="00422383">
        <w:rPr>
          <w:color w:val="000000"/>
          <w:lang w:val="en-US"/>
        </w:rPr>
        <w:t>.</w:t>
      </w:r>
    </w:p>
    <w:p w:rsidR="00422383" w:rsidRPr="00107AA3" w:rsidRDefault="0042238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Pr="00984A6C">
        <w:rPr>
          <w:color w:val="000000" w:themeColor="text1"/>
          <w:lang w:val="en-US"/>
        </w:rPr>
        <w:t xml:space="preserve">. </w:t>
      </w:r>
      <w:r w:rsidR="00984A6C" w:rsidRPr="00C3613E">
        <w:rPr>
          <w:color w:val="000000"/>
          <w:lang w:val="en-US"/>
        </w:rPr>
        <w:t xml:space="preserve">Alina S. </w:t>
      </w:r>
      <w:proofErr w:type="spellStart"/>
      <w:r w:rsidR="00984A6C" w:rsidRPr="00C3613E">
        <w:rPr>
          <w:color w:val="000000"/>
          <w:lang w:val="en-US"/>
        </w:rPr>
        <w:t>Agranat</w:t>
      </w:r>
      <w:proofErr w:type="spellEnd"/>
      <w:r w:rsidR="00984A6C">
        <w:rPr>
          <w:color w:val="000000"/>
          <w:lang w:val="en-US"/>
        </w:rPr>
        <w:t xml:space="preserve">, </w:t>
      </w:r>
      <w:r w:rsidR="00984A6C" w:rsidRPr="00C3613E">
        <w:rPr>
          <w:color w:val="000000"/>
          <w:lang w:val="en-US"/>
        </w:rPr>
        <w:t xml:space="preserve">Tatiana V. </w:t>
      </w:r>
      <w:proofErr w:type="spellStart"/>
      <w:r w:rsidR="00984A6C" w:rsidRPr="00C3613E">
        <w:rPr>
          <w:color w:val="000000"/>
          <w:lang w:val="en-US"/>
        </w:rPr>
        <w:t>Dubinina</w:t>
      </w:r>
      <w:proofErr w:type="spellEnd"/>
      <w:r w:rsidR="00984A6C">
        <w:rPr>
          <w:color w:val="000000"/>
          <w:lang w:val="en-US"/>
        </w:rPr>
        <w:t xml:space="preserve"> et al. </w:t>
      </w:r>
      <w:r w:rsidR="00984A6C" w:rsidRPr="00984A6C">
        <w:rPr>
          <w:color w:val="000000" w:themeColor="text1"/>
          <w:lang w:val="en-US"/>
        </w:rPr>
        <w:t>An efficient approach to the hydrolysis of 4-(</w:t>
      </w:r>
      <w:proofErr w:type="spellStart"/>
      <w:r w:rsidR="00984A6C" w:rsidRPr="00984A6C">
        <w:rPr>
          <w:color w:val="000000" w:themeColor="text1"/>
          <w:lang w:val="en-US"/>
        </w:rPr>
        <w:t>ethoxycarbonyl</w:t>
      </w:r>
      <w:proofErr w:type="spellEnd"/>
      <w:proofErr w:type="gramStart"/>
      <w:r w:rsidR="00984A6C" w:rsidRPr="00984A6C">
        <w:rPr>
          <w:color w:val="000000" w:themeColor="text1"/>
          <w:lang w:val="en-US"/>
        </w:rPr>
        <w:t>)</w:t>
      </w:r>
      <w:proofErr w:type="spellStart"/>
      <w:r w:rsidR="00984A6C" w:rsidRPr="00984A6C">
        <w:rPr>
          <w:color w:val="000000" w:themeColor="text1"/>
          <w:lang w:val="en-US"/>
        </w:rPr>
        <w:t>phenoxy</w:t>
      </w:r>
      <w:proofErr w:type="spellEnd"/>
      <w:proofErr w:type="gramEnd"/>
      <w:r w:rsidR="00984A6C" w:rsidRPr="00984A6C">
        <w:rPr>
          <w:color w:val="000000" w:themeColor="text1"/>
          <w:lang w:val="en-US"/>
        </w:rPr>
        <w:t xml:space="preserve">-substituted boron </w:t>
      </w:r>
      <w:proofErr w:type="spellStart"/>
      <w:r w:rsidR="00984A6C" w:rsidRPr="00984A6C">
        <w:rPr>
          <w:color w:val="000000" w:themeColor="text1"/>
          <w:lang w:val="en-US"/>
        </w:rPr>
        <w:t>subphthalocyanine</w:t>
      </w:r>
      <w:proofErr w:type="spellEnd"/>
      <w:r w:rsidR="00984A6C">
        <w:rPr>
          <w:color w:val="000000"/>
          <w:lang w:val="en-US"/>
        </w:rPr>
        <w:t xml:space="preserve"> // </w:t>
      </w:r>
      <w:r w:rsidR="00984A6C" w:rsidRPr="00984A6C">
        <w:rPr>
          <w:color w:val="000000"/>
          <w:lang w:val="en-US"/>
        </w:rPr>
        <w:t>Journal of Porphyrins and Phthalocyanines</w:t>
      </w:r>
      <w:r w:rsidR="00984A6C" w:rsidRPr="00984A6C">
        <w:rPr>
          <w:color w:val="000000"/>
          <w:shd w:val="clear" w:color="auto" w:fill="FFFFFF"/>
          <w:lang w:val="en-US"/>
        </w:rPr>
        <w:t> </w:t>
      </w:r>
      <w:r w:rsidR="00984A6C" w:rsidRPr="00984A6C">
        <w:rPr>
          <w:color w:val="000000"/>
          <w:lang w:val="en-US"/>
        </w:rPr>
        <w:t>2025</w:t>
      </w:r>
      <w:r w:rsidR="00984A6C" w:rsidRPr="00984A6C">
        <w:rPr>
          <w:color w:val="000000"/>
          <w:shd w:val="clear" w:color="auto" w:fill="FFFFFF"/>
          <w:lang w:val="en-US"/>
        </w:rPr>
        <w:t> </w:t>
      </w:r>
      <w:r w:rsidR="00984A6C" w:rsidRPr="00984A6C">
        <w:rPr>
          <w:color w:val="000000"/>
          <w:lang w:val="en-US"/>
        </w:rPr>
        <w:t>29</w:t>
      </w:r>
      <w:r w:rsidR="00984A6C" w:rsidRPr="00984A6C">
        <w:rPr>
          <w:color w:val="000000"/>
          <w:shd w:val="clear" w:color="auto" w:fill="FFFFFF"/>
          <w:lang w:val="en-US"/>
        </w:rPr>
        <w:t>:</w:t>
      </w:r>
      <w:r w:rsidR="00984A6C" w:rsidRPr="00984A6C">
        <w:rPr>
          <w:color w:val="000000"/>
          <w:lang w:val="en-US"/>
        </w:rPr>
        <w:t>12</w:t>
      </w:r>
      <w:r w:rsidR="00984A6C" w:rsidRPr="00984A6C">
        <w:rPr>
          <w:color w:val="000000"/>
          <w:shd w:val="clear" w:color="auto" w:fill="FFFFFF"/>
          <w:lang w:val="en-US"/>
        </w:rPr>
        <w:t>, </w:t>
      </w:r>
      <w:r w:rsidR="00984A6C" w:rsidRPr="00984A6C">
        <w:rPr>
          <w:color w:val="000000"/>
          <w:lang w:val="en-US"/>
        </w:rPr>
        <w:t>1241-1248</w:t>
      </w:r>
      <w:r w:rsidR="00984A6C">
        <w:rPr>
          <w:color w:val="000000"/>
          <w:lang w:val="en-US"/>
        </w:rPr>
        <w:t>.</w:t>
      </w:r>
    </w:p>
    <w:sectPr w:rsidR="00422383" w:rsidRPr="00107AA3" w:rsidSect="00914A4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20"/>
  <w:characterSpacingControl w:val="doNotCompress"/>
  <w:compat/>
  <w:rsids>
    <w:rsidRoot w:val="00130241"/>
    <w:rsid w:val="000071CD"/>
    <w:rsid w:val="0003659F"/>
    <w:rsid w:val="00063966"/>
    <w:rsid w:val="00075D6E"/>
    <w:rsid w:val="00086081"/>
    <w:rsid w:val="0009449A"/>
    <w:rsid w:val="00094FD0"/>
    <w:rsid w:val="000B1BB8"/>
    <w:rsid w:val="000B4E7D"/>
    <w:rsid w:val="000E334E"/>
    <w:rsid w:val="00101A1C"/>
    <w:rsid w:val="00103657"/>
    <w:rsid w:val="00106375"/>
    <w:rsid w:val="001073AB"/>
    <w:rsid w:val="00107AA3"/>
    <w:rsid w:val="00110021"/>
    <w:rsid w:val="00116478"/>
    <w:rsid w:val="00130241"/>
    <w:rsid w:val="00174B7F"/>
    <w:rsid w:val="00175561"/>
    <w:rsid w:val="001B0086"/>
    <w:rsid w:val="001E61C2"/>
    <w:rsid w:val="001F0493"/>
    <w:rsid w:val="001F0C82"/>
    <w:rsid w:val="0022260A"/>
    <w:rsid w:val="002256AB"/>
    <w:rsid w:val="002264EE"/>
    <w:rsid w:val="0023307C"/>
    <w:rsid w:val="00281F64"/>
    <w:rsid w:val="002B1CD0"/>
    <w:rsid w:val="00301868"/>
    <w:rsid w:val="0031361E"/>
    <w:rsid w:val="00344930"/>
    <w:rsid w:val="003718B4"/>
    <w:rsid w:val="00373E2D"/>
    <w:rsid w:val="003834EC"/>
    <w:rsid w:val="00391C38"/>
    <w:rsid w:val="003B76D6"/>
    <w:rsid w:val="003D09AD"/>
    <w:rsid w:val="003E2601"/>
    <w:rsid w:val="003F4E6B"/>
    <w:rsid w:val="00401558"/>
    <w:rsid w:val="00422383"/>
    <w:rsid w:val="004A26A3"/>
    <w:rsid w:val="004F0EDF"/>
    <w:rsid w:val="004F4F88"/>
    <w:rsid w:val="004F5416"/>
    <w:rsid w:val="004F6009"/>
    <w:rsid w:val="00522BF1"/>
    <w:rsid w:val="00556CAC"/>
    <w:rsid w:val="00584446"/>
    <w:rsid w:val="00590166"/>
    <w:rsid w:val="005A3003"/>
    <w:rsid w:val="005B07E6"/>
    <w:rsid w:val="005C3E20"/>
    <w:rsid w:val="005D022B"/>
    <w:rsid w:val="005E5BE9"/>
    <w:rsid w:val="005F419C"/>
    <w:rsid w:val="0063215F"/>
    <w:rsid w:val="00647832"/>
    <w:rsid w:val="00654D03"/>
    <w:rsid w:val="00665279"/>
    <w:rsid w:val="0069427D"/>
    <w:rsid w:val="006B535A"/>
    <w:rsid w:val="006F7A19"/>
    <w:rsid w:val="00705378"/>
    <w:rsid w:val="007213E1"/>
    <w:rsid w:val="00775389"/>
    <w:rsid w:val="00782F0D"/>
    <w:rsid w:val="00797838"/>
    <w:rsid w:val="007B5B96"/>
    <w:rsid w:val="007C36D8"/>
    <w:rsid w:val="007F2744"/>
    <w:rsid w:val="00842577"/>
    <w:rsid w:val="00871653"/>
    <w:rsid w:val="008931BE"/>
    <w:rsid w:val="008C67E3"/>
    <w:rsid w:val="00914205"/>
    <w:rsid w:val="00914A42"/>
    <w:rsid w:val="00921D45"/>
    <w:rsid w:val="009426C0"/>
    <w:rsid w:val="009707AF"/>
    <w:rsid w:val="00980A65"/>
    <w:rsid w:val="00984A6C"/>
    <w:rsid w:val="009A66DB"/>
    <w:rsid w:val="009B2F80"/>
    <w:rsid w:val="009B3300"/>
    <w:rsid w:val="009F3380"/>
    <w:rsid w:val="009F4DDA"/>
    <w:rsid w:val="00A02163"/>
    <w:rsid w:val="00A314FE"/>
    <w:rsid w:val="00A816D4"/>
    <w:rsid w:val="00AA1D62"/>
    <w:rsid w:val="00AD7380"/>
    <w:rsid w:val="00BF36F8"/>
    <w:rsid w:val="00BF4622"/>
    <w:rsid w:val="00C3613E"/>
    <w:rsid w:val="00C36346"/>
    <w:rsid w:val="00C844E2"/>
    <w:rsid w:val="00CD00B1"/>
    <w:rsid w:val="00D22306"/>
    <w:rsid w:val="00D37D84"/>
    <w:rsid w:val="00D42542"/>
    <w:rsid w:val="00D6478A"/>
    <w:rsid w:val="00D8121C"/>
    <w:rsid w:val="00DC5AD2"/>
    <w:rsid w:val="00DD47C4"/>
    <w:rsid w:val="00E0649F"/>
    <w:rsid w:val="00E22189"/>
    <w:rsid w:val="00E45F76"/>
    <w:rsid w:val="00E470E3"/>
    <w:rsid w:val="00E6176C"/>
    <w:rsid w:val="00E74069"/>
    <w:rsid w:val="00E81D35"/>
    <w:rsid w:val="00EB1F49"/>
    <w:rsid w:val="00EB2464"/>
    <w:rsid w:val="00ED7AEC"/>
    <w:rsid w:val="00EE7776"/>
    <w:rsid w:val="00EF12E0"/>
    <w:rsid w:val="00EF259A"/>
    <w:rsid w:val="00F020C7"/>
    <w:rsid w:val="00F21526"/>
    <w:rsid w:val="00F357A0"/>
    <w:rsid w:val="00F502E4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321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321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321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3215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3215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321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321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3215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321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617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17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23-73-100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140C6C-3444-4600-A2A7-3745D501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3</cp:revision>
  <cp:lastPrinted>2026-01-28T14:24:00Z</cp:lastPrinted>
  <dcterms:created xsi:type="dcterms:W3CDTF">2026-03-09T16:50:00Z</dcterms:created>
  <dcterms:modified xsi:type="dcterms:W3CDTF">2026-03-13T22:28:00Z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