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663BA" w14:textId="30FBFCF6" w:rsidR="0076194A" w:rsidRDefault="0076194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r w:rsidRPr="0076194A">
        <w:rPr>
          <w:b/>
          <w:color w:val="000000"/>
        </w:rPr>
        <w:t xml:space="preserve">Оптимизация фармакокинетических свойств </w:t>
      </w:r>
      <w:r>
        <w:rPr>
          <w:b/>
          <w:color w:val="000000"/>
        </w:rPr>
        <w:t>ингибиторов</w:t>
      </w:r>
      <w:r w:rsidRPr="0076194A">
        <w:rPr>
          <w:b/>
          <w:color w:val="000000"/>
        </w:rPr>
        <w:t xml:space="preserve"> </w:t>
      </w:r>
      <w:r>
        <w:rPr>
          <w:b/>
          <w:color w:val="000000"/>
          <w:lang w:val="en-US"/>
        </w:rPr>
        <w:t>ALK</w:t>
      </w:r>
      <w:r w:rsidRPr="0076194A">
        <w:rPr>
          <w:b/>
          <w:color w:val="000000"/>
        </w:rPr>
        <w:t>5 с применением обратного фрагментного подхода</w:t>
      </w:r>
    </w:p>
    <w:p w14:paraId="747CA145" w14:textId="5485BA4F" w:rsidR="003F37B8" w:rsidRDefault="0076194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i/>
          <w:color w:val="000000"/>
          <w:vertAlign w:val="superscript"/>
        </w:rPr>
      </w:pPr>
      <w:r>
        <w:rPr>
          <w:b/>
          <w:i/>
          <w:color w:val="000000"/>
        </w:rPr>
        <w:t>Никифорова П.К., Зверев Д.В., Шульга Д.А.</w:t>
      </w:r>
      <w:r w:rsidR="00A331BE">
        <w:rPr>
          <w:b/>
          <w:i/>
          <w:color w:val="000000"/>
        </w:rPr>
        <w:t>, Палюлин В.А.</w:t>
      </w:r>
    </w:p>
    <w:p w14:paraId="6C43D7F0" w14:textId="77777777" w:rsidR="009E1287" w:rsidRDefault="009A2E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>
        <w:rPr>
          <w:i/>
          <w:color w:val="000000"/>
        </w:rPr>
        <w:t>Студент</w:t>
      </w:r>
      <w:r w:rsidR="009E1287" w:rsidRPr="009E1287">
        <w:rPr>
          <w:i/>
          <w:color w:val="000000"/>
        </w:rPr>
        <w:t xml:space="preserve">, </w:t>
      </w:r>
      <w:r w:rsidR="0076194A">
        <w:rPr>
          <w:i/>
          <w:color w:val="000000"/>
        </w:rPr>
        <w:t>5</w:t>
      </w:r>
      <w:r w:rsidR="009E1287" w:rsidRPr="009E1287">
        <w:rPr>
          <w:i/>
          <w:color w:val="000000"/>
        </w:rPr>
        <w:t xml:space="preserve"> </w:t>
      </w:r>
      <w:r w:rsidR="0076194A">
        <w:rPr>
          <w:i/>
          <w:color w:val="000000"/>
        </w:rPr>
        <w:t>курс</w:t>
      </w:r>
      <w:r w:rsidRPr="009A2EE3">
        <w:rPr>
          <w:i/>
          <w:color w:val="000000"/>
        </w:rPr>
        <w:t xml:space="preserve"> </w:t>
      </w:r>
      <w:r>
        <w:rPr>
          <w:i/>
          <w:color w:val="000000"/>
        </w:rPr>
        <w:t>специалитета</w:t>
      </w:r>
    </w:p>
    <w:p w14:paraId="01C00668" w14:textId="77777777" w:rsidR="003F37B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  <w:highlight w:val="yellow"/>
        </w:rPr>
      </w:pPr>
      <w:r>
        <w:rPr>
          <w:i/>
          <w:color w:val="000000"/>
        </w:rPr>
        <w:t xml:space="preserve">Московский государственный университет имени М.В. Ломоносова, </w:t>
      </w:r>
      <w:r>
        <w:rPr>
          <w:i/>
          <w:color w:val="000000"/>
        </w:rPr>
        <w:br/>
        <w:t>химический факультет, Москва, Россия</w:t>
      </w:r>
    </w:p>
    <w:p w14:paraId="3EC26CC4" w14:textId="77777777" w:rsidR="003F37B8" w:rsidRPr="0024755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6428E2">
        <w:rPr>
          <w:i/>
          <w:color w:val="000000"/>
          <w:lang w:val="en-US"/>
        </w:rPr>
        <w:t>E</w:t>
      </w:r>
      <w:r w:rsidRPr="00247553">
        <w:rPr>
          <w:i/>
          <w:color w:val="000000"/>
        </w:rPr>
        <w:t>-</w:t>
      </w:r>
      <w:r w:rsidRPr="006428E2">
        <w:rPr>
          <w:i/>
          <w:color w:val="000000"/>
          <w:lang w:val="en-US"/>
        </w:rPr>
        <w:t>mail</w:t>
      </w:r>
      <w:r w:rsidRPr="00247553">
        <w:rPr>
          <w:i/>
          <w:color w:val="000000"/>
        </w:rPr>
        <w:t xml:space="preserve">: </w:t>
      </w:r>
      <w:r w:rsidR="00D60A9A" w:rsidRPr="00D60A9A">
        <w:rPr>
          <w:i/>
          <w:color w:val="000000"/>
          <w:u w:val="single"/>
          <w:lang w:val="en-US"/>
        </w:rPr>
        <w:t>npkonstantinovna</w:t>
      </w:r>
      <w:r w:rsidR="00D60A9A" w:rsidRPr="00247553">
        <w:rPr>
          <w:i/>
          <w:color w:val="000000"/>
          <w:u w:val="single"/>
        </w:rPr>
        <w:t>@</w:t>
      </w:r>
      <w:r w:rsidR="00D60A9A" w:rsidRPr="00D60A9A">
        <w:rPr>
          <w:i/>
          <w:color w:val="000000"/>
          <w:u w:val="single"/>
          <w:lang w:val="en-US"/>
        </w:rPr>
        <w:t>yandex</w:t>
      </w:r>
      <w:r w:rsidR="00D60A9A" w:rsidRPr="00247553">
        <w:rPr>
          <w:i/>
          <w:color w:val="000000"/>
          <w:u w:val="single"/>
        </w:rPr>
        <w:t>.</w:t>
      </w:r>
      <w:r w:rsidR="00D60A9A" w:rsidRPr="00D60A9A">
        <w:rPr>
          <w:i/>
          <w:color w:val="000000"/>
          <w:u w:val="single"/>
          <w:lang w:val="en-US"/>
        </w:rPr>
        <w:t>ru</w:t>
      </w:r>
    </w:p>
    <w:p w14:paraId="43D382C2" w14:textId="5C1CC900" w:rsidR="00D45F8D" w:rsidRPr="00D45F8D" w:rsidRDefault="001A2FC6" w:rsidP="00D45F8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Солидные опухоли </w:t>
      </w:r>
      <w:r w:rsidR="00480207">
        <w:rPr>
          <w:color w:val="000000"/>
        </w:rPr>
        <w:t>относятся к</w:t>
      </w:r>
      <w:r>
        <w:rPr>
          <w:color w:val="000000"/>
        </w:rPr>
        <w:t xml:space="preserve"> агрессивным видам рака, часто невосприимчивым к химиотерапии</w:t>
      </w:r>
      <w:r w:rsidR="00CD7288">
        <w:rPr>
          <w:color w:val="000000"/>
        </w:rPr>
        <w:t xml:space="preserve"> на поздних стадиях</w:t>
      </w:r>
      <w:r>
        <w:rPr>
          <w:color w:val="000000"/>
        </w:rPr>
        <w:t xml:space="preserve">. Современным подходом </w:t>
      </w:r>
      <w:r w:rsidR="00D45F8D">
        <w:rPr>
          <w:color w:val="000000"/>
        </w:rPr>
        <w:t xml:space="preserve">для терапии </w:t>
      </w:r>
      <w:r>
        <w:rPr>
          <w:color w:val="000000"/>
        </w:rPr>
        <w:t>является разработка таргетных препаратов</w:t>
      </w:r>
      <w:r w:rsidR="00D45F8D">
        <w:rPr>
          <w:color w:val="000000"/>
        </w:rPr>
        <w:t>, проявляющи</w:t>
      </w:r>
      <w:r w:rsidR="00B863BB">
        <w:rPr>
          <w:color w:val="000000"/>
        </w:rPr>
        <w:t>х</w:t>
      </w:r>
      <w:r w:rsidR="00D45F8D">
        <w:rPr>
          <w:color w:val="000000"/>
        </w:rPr>
        <w:t xml:space="preserve"> высокую эффективность и меньшее количество побочных эффектов</w:t>
      </w:r>
      <w:r>
        <w:rPr>
          <w:color w:val="000000"/>
        </w:rPr>
        <w:t>.</w:t>
      </w:r>
      <w:r w:rsidR="00D45F8D" w:rsidRPr="00D45F8D">
        <w:rPr>
          <w:color w:val="000000"/>
        </w:rPr>
        <w:t xml:space="preserve"> </w:t>
      </w:r>
      <w:r w:rsidR="009A2EE3">
        <w:t>С</w:t>
      </w:r>
      <w:r w:rsidR="00D45F8D" w:rsidRPr="001608B6">
        <w:t>ериновая/треониновая киназа I типа</w:t>
      </w:r>
      <w:r w:rsidR="00D45F8D">
        <w:t xml:space="preserve"> </w:t>
      </w:r>
      <w:r w:rsidR="00D45F8D">
        <w:rPr>
          <w:lang w:val="en-US"/>
        </w:rPr>
        <w:t>ALK</w:t>
      </w:r>
      <w:r w:rsidR="00D45F8D" w:rsidRPr="001608B6">
        <w:t>5</w:t>
      </w:r>
      <w:r w:rsidR="00D45F8D" w:rsidRPr="00D45F8D">
        <w:t xml:space="preserve"> </w:t>
      </w:r>
      <w:r w:rsidR="00D45F8D">
        <w:rPr>
          <w:color w:val="000000"/>
        </w:rPr>
        <w:t xml:space="preserve">является компонентом </w:t>
      </w:r>
      <w:r w:rsidR="00D45F8D" w:rsidRPr="00D45F8D">
        <w:rPr>
          <w:color w:val="000000"/>
        </w:rPr>
        <w:t>TGF-</w:t>
      </w:r>
      <w:r w:rsidR="00D45F8D" w:rsidRPr="00D45F8D">
        <w:rPr>
          <w:rFonts w:ascii="Cambria Math" w:hAnsi="Cambria Math" w:cs="Cambria Math"/>
          <w:color w:val="000000"/>
        </w:rPr>
        <w:t>𝛽</w:t>
      </w:r>
      <w:r w:rsidR="00D45F8D">
        <w:rPr>
          <w:rFonts w:ascii="Cambria Math" w:hAnsi="Cambria Math" w:cs="Cambria Math"/>
          <w:color w:val="000000"/>
        </w:rPr>
        <w:t xml:space="preserve"> сигнального пути, связанного</w:t>
      </w:r>
      <w:r w:rsidR="00D45F8D" w:rsidRPr="00D45F8D">
        <w:t xml:space="preserve"> </w:t>
      </w:r>
      <w:r w:rsidR="00D45F8D">
        <w:t>с патогенезом многих солидных опухолей</w:t>
      </w:r>
      <w:r w:rsidR="00D45F8D">
        <w:rPr>
          <w:rFonts w:ascii="Cambria Math" w:hAnsi="Cambria Math" w:cs="Cambria Math"/>
          <w:color w:val="000000"/>
        </w:rPr>
        <w:t>. Его гиперактивация способствует</w:t>
      </w:r>
      <w:r w:rsidR="00756768">
        <w:rPr>
          <w:rFonts w:ascii="Cambria Math" w:hAnsi="Cambria Math" w:cs="Cambria Math"/>
          <w:color w:val="000000"/>
        </w:rPr>
        <w:t xml:space="preserve"> их</w:t>
      </w:r>
      <w:r w:rsidR="00D45F8D">
        <w:rPr>
          <w:rFonts w:ascii="Cambria Math" w:hAnsi="Cambria Math" w:cs="Cambria Math"/>
          <w:color w:val="000000"/>
        </w:rPr>
        <w:t xml:space="preserve"> метастазированию и иммуносупрессии </w:t>
      </w:r>
      <w:r w:rsidR="001C3434" w:rsidRPr="003D5E3F">
        <w:rPr>
          <w:rFonts w:ascii="Cambria Math" w:hAnsi="Cambria Math" w:cs="Cambria Math"/>
          <w:color w:val="000000"/>
        </w:rPr>
        <w:t>[1]</w:t>
      </w:r>
      <w:r w:rsidR="00D45F8D">
        <w:rPr>
          <w:rFonts w:ascii="Cambria Math" w:hAnsi="Cambria Math" w:cs="Cambria Math"/>
          <w:color w:val="000000"/>
        </w:rPr>
        <w:t>.</w:t>
      </w:r>
    </w:p>
    <w:p w14:paraId="244C1802" w14:textId="77777777" w:rsidR="003F37B8" w:rsidRPr="0075547F" w:rsidRDefault="001A2F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>Одним из наиболее мощных методов рационального дизайна является фрагментно-ориентированный подход. Метод обратного фрагментно-ориентированного дизайна</w:t>
      </w:r>
      <w:r w:rsidR="00C60E17" w:rsidRPr="00C60E17">
        <w:rPr>
          <w:color w:val="000000"/>
        </w:rPr>
        <w:t xml:space="preserve"> </w:t>
      </w:r>
      <w:r w:rsidR="00C60E17">
        <w:rPr>
          <w:color w:val="000000"/>
        </w:rPr>
        <w:t>лекарств</w:t>
      </w:r>
      <w:r>
        <w:rPr>
          <w:color w:val="000000"/>
        </w:rPr>
        <w:t xml:space="preserve"> (</w:t>
      </w:r>
      <w:r>
        <w:rPr>
          <w:color w:val="000000"/>
          <w:lang w:val="en-US"/>
        </w:rPr>
        <w:t>R</w:t>
      </w:r>
      <w:r w:rsidRPr="001A2FC6">
        <w:rPr>
          <w:color w:val="000000"/>
        </w:rPr>
        <w:t>-</w:t>
      </w:r>
      <w:r>
        <w:rPr>
          <w:color w:val="000000"/>
          <w:lang w:val="en-US"/>
        </w:rPr>
        <w:t>FBDD</w:t>
      </w:r>
      <w:r w:rsidRPr="001A2FC6">
        <w:rPr>
          <w:color w:val="000000"/>
        </w:rPr>
        <w:t>) [</w:t>
      </w:r>
      <w:r w:rsidR="001C3434" w:rsidRPr="001C3434">
        <w:rPr>
          <w:color w:val="000000"/>
        </w:rPr>
        <w:t>2</w:t>
      </w:r>
      <w:r w:rsidRPr="001A2FC6">
        <w:rPr>
          <w:color w:val="000000"/>
        </w:rPr>
        <w:t xml:space="preserve">] </w:t>
      </w:r>
      <w:r w:rsidR="00855C87">
        <w:rPr>
          <w:color w:val="000000"/>
        </w:rPr>
        <w:t>представляет</w:t>
      </w:r>
      <w:r>
        <w:rPr>
          <w:color w:val="000000"/>
        </w:rPr>
        <w:t xml:space="preserve"> развитие классического фрагментного подхода</w:t>
      </w:r>
      <w:r w:rsidR="0075547F">
        <w:rPr>
          <w:color w:val="000000"/>
        </w:rPr>
        <w:t xml:space="preserve"> и</w:t>
      </w:r>
      <w:r>
        <w:rPr>
          <w:color w:val="000000"/>
        </w:rPr>
        <w:t xml:space="preserve"> предназначен для количественно</w:t>
      </w:r>
      <w:r w:rsidR="00B863BB">
        <w:rPr>
          <w:color w:val="000000"/>
        </w:rPr>
        <w:t>й</w:t>
      </w:r>
      <w:r>
        <w:rPr>
          <w:color w:val="000000"/>
        </w:rPr>
        <w:t xml:space="preserve"> </w:t>
      </w:r>
      <w:r w:rsidR="00B863BB">
        <w:rPr>
          <w:color w:val="000000"/>
        </w:rPr>
        <w:t>оценки</w:t>
      </w:r>
      <w:r>
        <w:rPr>
          <w:color w:val="000000"/>
        </w:rPr>
        <w:t xml:space="preserve"> фрагментов</w:t>
      </w:r>
      <w:r w:rsidR="00D45F8D">
        <w:rPr>
          <w:color w:val="000000"/>
        </w:rPr>
        <w:t xml:space="preserve"> в нативных позициях связывания</w:t>
      </w:r>
      <w:r>
        <w:rPr>
          <w:color w:val="000000"/>
        </w:rPr>
        <w:t xml:space="preserve">. Применение </w:t>
      </w:r>
      <w:r w:rsidR="0075547F">
        <w:rPr>
          <w:color w:val="000000"/>
        </w:rPr>
        <w:t xml:space="preserve">обратного фрагментного </w:t>
      </w:r>
      <w:r>
        <w:rPr>
          <w:color w:val="000000"/>
        </w:rPr>
        <w:t>подхода является перспективным для расширения разнообразия структур и оптимизации соединений-лидеров при разработке таргетных препаратов.</w:t>
      </w:r>
    </w:p>
    <w:p w14:paraId="1641BBCD" w14:textId="77777777" w:rsidR="00480207" w:rsidRPr="001A2FC6" w:rsidRDefault="001C3434" w:rsidP="004802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8E467CC" wp14:editId="3D6EA798">
            <wp:extent cx="4523584" cy="2380735"/>
            <wp:effectExtent l="0" t="0" r="0" b="0"/>
            <wp:docPr id="11788488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48865" name="Picture 117884886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3" t="30041" r="16702" b="21533"/>
                    <a:stretch/>
                  </pic:blipFill>
                  <pic:spPr bwMode="auto">
                    <a:xfrm>
                      <a:off x="0" y="0"/>
                      <a:ext cx="4525047" cy="23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E6E5A" w14:textId="77777777" w:rsidR="001608B6" w:rsidRPr="003D5E3F" w:rsidRDefault="00000000" w:rsidP="001C3434">
      <w:pPr>
        <w:jc w:val="center"/>
      </w:pPr>
      <w:r>
        <w:t xml:space="preserve">Рис. 1. </w:t>
      </w:r>
      <w:r w:rsidR="009A2EE3">
        <w:t>Характерные взаимодействия</w:t>
      </w:r>
      <w:r w:rsidR="001C3434">
        <w:t xml:space="preserve"> </w:t>
      </w:r>
      <w:r w:rsidR="001C3434" w:rsidRPr="001C3434">
        <w:t>Вактосертиб</w:t>
      </w:r>
      <w:r w:rsidR="001C3434">
        <w:t xml:space="preserve">а в сайте связывания </w:t>
      </w:r>
      <w:r w:rsidR="001C3434">
        <w:rPr>
          <w:lang w:val="en-US"/>
        </w:rPr>
        <w:t>ALK</w:t>
      </w:r>
      <w:r w:rsidR="001C3434" w:rsidRPr="001C3434">
        <w:t>5.</w:t>
      </w:r>
    </w:p>
    <w:p w14:paraId="746C6C73" w14:textId="533E1E54" w:rsidR="003F37B8" w:rsidRPr="001608B6" w:rsidRDefault="00000000">
      <w:pPr>
        <w:shd w:val="clear" w:color="auto" w:fill="FFFFFF"/>
        <w:ind w:firstLine="397"/>
        <w:jc w:val="both"/>
      </w:pPr>
      <w:r>
        <w:t>В работе был</w:t>
      </w:r>
      <w:r w:rsidR="00293712">
        <w:t>а</w:t>
      </w:r>
      <w:r>
        <w:t xml:space="preserve"> </w:t>
      </w:r>
      <w:r w:rsidR="001A2FC6">
        <w:t>проведен</w:t>
      </w:r>
      <w:r w:rsidR="00293712">
        <w:t>а</w:t>
      </w:r>
      <w:r w:rsidR="001A2FC6">
        <w:t xml:space="preserve"> </w:t>
      </w:r>
      <w:r w:rsidR="00855C87">
        <w:rPr>
          <w:lang w:val="en-US"/>
        </w:rPr>
        <w:t>R</w:t>
      </w:r>
      <w:r w:rsidR="00855C87" w:rsidRPr="001608B6">
        <w:t>-</w:t>
      </w:r>
      <w:r w:rsidR="00855C87">
        <w:rPr>
          <w:lang w:val="en-US"/>
        </w:rPr>
        <w:t>FBDD</w:t>
      </w:r>
      <w:r w:rsidR="00855C87" w:rsidRPr="001608B6">
        <w:t xml:space="preserve"> </w:t>
      </w:r>
      <w:r w:rsidR="00293712">
        <w:t>оценка</w:t>
      </w:r>
      <w:r w:rsidR="00855C87">
        <w:t xml:space="preserve"> </w:t>
      </w:r>
      <w:r w:rsidR="001608B6">
        <w:t xml:space="preserve">ингибиторов </w:t>
      </w:r>
      <w:r w:rsidR="001608B6">
        <w:rPr>
          <w:lang w:val="en-US"/>
        </w:rPr>
        <w:t>ALK</w:t>
      </w:r>
      <w:r w:rsidR="001608B6" w:rsidRPr="001608B6">
        <w:t>5</w:t>
      </w:r>
      <w:r w:rsidR="00855C87">
        <w:t xml:space="preserve"> </w:t>
      </w:r>
      <w:r w:rsidR="001608B6">
        <w:t xml:space="preserve">с использованием оценочных функций </w:t>
      </w:r>
      <w:r w:rsidR="001608B6">
        <w:rPr>
          <w:lang w:val="en-US"/>
        </w:rPr>
        <w:t>Autodock</w:t>
      </w:r>
      <w:r w:rsidR="001608B6" w:rsidRPr="001608B6">
        <w:t xml:space="preserve"> </w:t>
      </w:r>
      <w:r w:rsidR="001608B6">
        <w:rPr>
          <w:lang w:val="en-US"/>
        </w:rPr>
        <w:t>Vina</w:t>
      </w:r>
      <w:r w:rsidR="001608B6" w:rsidRPr="001608B6">
        <w:t xml:space="preserve"> </w:t>
      </w:r>
      <w:r w:rsidR="001608B6">
        <w:t xml:space="preserve">и </w:t>
      </w:r>
      <w:r w:rsidR="001608B6">
        <w:rPr>
          <w:lang w:val="en-US"/>
        </w:rPr>
        <w:t>GNINA</w:t>
      </w:r>
      <w:r w:rsidR="00C60E17" w:rsidRPr="00C60E17">
        <w:t xml:space="preserve"> [3</w:t>
      </w:r>
      <w:r w:rsidR="001C3434" w:rsidRPr="001C3434">
        <w:t>]</w:t>
      </w:r>
      <w:r w:rsidR="001608B6" w:rsidRPr="001608B6">
        <w:t xml:space="preserve"> </w:t>
      </w:r>
      <w:r w:rsidR="001608B6">
        <w:t xml:space="preserve">для расчета </w:t>
      </w:r>
      <w:r w:rsidR="001C3434">
        <w:t>групповых</w:t>
      </w:r>
      <w:r w:rsidR="001608B6">
        <w:t xml:space="preserve"> эффективностей </w:t>
      </w:r>
      <w:r w:rsidR="001C3434">
        <w:t>(</w:t>
      </w:r>
      <w:r w:rsidR="001C3434">
        <w:rPr>
          <w:lang w:val="en-US"/>
        </w:rPr>
        <w:t>GE</w:t>
      </w:r>
      <w:r w:rsidR="001C3434" w:rsidRPr="001C3434">
        <w:t xml:space="preserve">) </w:t>
      </w:r>
      <w:r w:rsidR="001608B6">
        <w:t>– вкладов фрагментов в суммарную энергию связывания</w:t>
      </w:r>
      <w:r w:rsidR="003D5E3F">
        <w:t xml:space="preserve"> (рис. 1)</w:t>
      </w:r>
      <w:r w:rsidR="001608B6">
        <w:t>.</w:t>
      </w:r>
    </w:p>
    <w:p w14:paraId="7E897E6C" w14:textId="77777777" w:rsidR="003F37B8" w:rsidRPr="00480207" w:rsidRDefault="001608B6">
      <w:pPr>
        <w:shd w:val="clear" w:color="auto" w:fill="FFFFFF"/>
        <w:ind w:firstLine="397"/>
        <w:jc w:val="both"/>
      </w:pPr>
      <w:r>
        <w:t xml:space="preserve">На основании полученных значений </w:t>
      </w:r>
      <w:r w:rsidR="001C3434">
        <w:t>групповой</w:t>
      </w:r>
      <w:r>
        <w:t xml:space="preserve"> эффективности</w:t>
      </w:r>
      <w:r w:rsidR="00480207">
        <w:t xml:space="preserve"> определены эффективные и неэффективные фрагменты для модификации при условии сохранения исходной аффинности лиганда. </w:t>
      </w:r>
      <w:r w:rsidR="00855C87">
        <w:t>Для эффективных фрагментов п</w:t>
      </w:r>
      <w:r w:rsidR="00480207">
        <w:t xml:space="preserve">редложены </w:t>
      </w:r>
      <w:r w:rsidR="00855C87">
        <w:t>модификации</w:t>
      </w:r>
      <w:r w:rsidR="00480207">
        <w:t xml:space="preserve">, улучшающие </w:t>
      </w:r>
      <w:r w:rsidR="00480207">
        <w:rPr>
          <w:lang w:val="en-US"/>
        </w:rPr>
        <w:t>ADMET</w:t>
      </w:r>
      <w:r w:rsidR="00480207">
        <w:t>-свойства соединений-лидеров.</w:t>
      </w:r>
    </w:p>
    <w:p w14:paraId="7BC3DECE" w14:textId="77777777" w:rsidR="003F37B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Литература</w:t>
      </w:r>
    </w:p>
    <w:p w14:paraId="2447827E" w14:textId="77777777" w:rsidR="00D60A9A" w:rsidRPr="00D60A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3D5E3F">
        <w:rPr>
          <w:color w:val="000000"/>
        </w:rPr>
        <w:t xml:space="preserve">1. </w:t>
      </w:r>
      <w:r w:rsidR="00D60A9A" w:rsidRPr="00D60A9A">
        <w:rPr>
          <w:color w:val="000000"/>
          <w:lang w:val="en-US"/>
        </w:rPr>
        <w:t>Cecerska</w:t>
      </w:r>
      <w:r w:rsidR="00D60A9A" w:rsidRPr="003D5E3F">
        <w:rPr>
          <w:color w:val="000000"/>
        </w:rPr>
        <w:t>-</w:t>
      </w:r>
      <w:r w:rsidR="00D60A9A" w:rsidRPr="00D60A9A">
        <w:rPr>
          <w:color w:val="000000"/>
          <w:lang w:val="en-US"/>
        </w:rPr>
        <w:t>Hery</w:t>
      </w:r>
      <w:r w:rsidR="00D60A9A" w:rsidRPr="003D5E3F">
        <w:rPr>
          <w:color w:val="000000"/>
        </w:rPr>
        <w:t xml:space="preserve">ć </w:t>
      </w:r>
      <w:r w:rsidR="00D60A9A" w:rsidRPr="00D60A9A">
        <w:rPr>
          <w:color w:val="000000"/>
          <w:lang w:val="en-US"/>
        </w:rPr>
        <w:t>E</w:t>
      </w:r>
      <w:r w:rsidR="00D60A9A" w:rsidRPr="003D5E3F">
        <w:rPr>
          <w:color w:val="000000"/>
        </w:rPr>
        <w:t xml:space="preserve">. </w:t>
      </w:r>
      <w:r w:rsidR="00D60A9A" w:rsidRPr="00D60A9A">
        <w:rPr>
          <w:color w:val="000000"/>
          <w:lang w:val="en-US"/>
        </w:rPr>
        <w:t>et</w:t>
      </w:r>
      <w:r w:rsidR="00D60A9A" w:rsidRPr="003D5E3F">
        <w:rPr>
          <w:color w:val="000000"/>
        </w:rPr>
        <w:t xml:space="preserve"> </w:t>
      </w:r>
      <w:r w:rsidR="00D60A9A" w:rsidRPr="00D60A9A">
        <w:rPr>
          <w:color w:val="000000"/>
          <w:lang w:val="en-US"/>
        </w:rPr>
        <w:t>al</w:t>
      </w:r>
      <w:r w:rsidR="00D60A9A" w:rsidRPr="003D5E3F">
        <w:rPr>
          <w:color w:val="000000"/>
        </w:rPr>
        <w:t xml:space="preserve">. </w:t>
      </w:r>
      <w:r w:rsidR="00D60A9A" w:rsidRPr="00D60A9A">
        <w:rPr>
          <w:color w:val="000000"/>
          <w:lang w:val="en-US"/>
        </w:rPr>
        <w:t>TGF-</w:t>
      </w:r>
      <w:r w:rsidR="00D60A9A" w:rsidRPr="00D60A9A">
        <w:rPr>
          <w:color w:val="000000"/>
        </w:rPr>
        <w:t>β</w:t>
      </w:r>
      <w:r w:rsidR="00D60A9A" w:rsidRPr="00D60A9A">
        <w:rPr>
          <w:color w:val="000000"/>
          <w:lang w:val="en-US"/>
        </w:rPr>
        <w:t xml:space="preserve"> Signaling in cancer: mechanisms of progression and therapeutic targets </w:t>
      </w:r>
      <w:r w:rsidR="00D60A9A" w:rsidRPr="006428E2">
        <w:rPr>
          <w:color w:val="000000"/>
          <w:lang w:val="en-US"/>
        </w:rPr>
        <w:t xml:space="preserve">// </w:t>
      </w:r>
      <w:r w:rsidR="00D60A9A" w:rsidRPr="00D60A9A">
        <w:rPr>
          <w:color w:val="000000"/>
          <w:lang w:val="en-US"/>
        </w:rPr>
        <w:t>Int. J. Mol. Sci</w:t>
      </w:r>
      <w:r w:rsidR="00D60A9A" w:rsidRPr="006428E2">
        <w:rPr>
          <w:color w:val="000000"/>
          <w:lang w:val="en-US"/>
        </w:rPr>
        <w:t xml:space="preserve">. </w:t>
      </w:r>
      <w:r w:rsidR="00D60A9A" w:rsidRPr="00D60A9A">
        <w:rPr>
          <w:color w:val="000000"/>
          <w:lang w:val="en-US"/>
        </w:rPr>
        <w:t>2025</w:t>
      </w:r>
      <w:r w:rsidR="00D60A9A" w:rsidRPr="006428E2">
        <w:rPr>
          <w:color w:val="000000"/>
          <w:lang w:val="en-US"/>
        </w:rPr>
        <w:t xml:space="preserve">. Vol. </w:t>
      </w:r>
      <w:r w:rsidR="00D60A9A" w:rsidRPr="00D60A9A">
        <w:rPr>
          <w:color w:val="000000"/>
          <w:lang w:val="en-US"/>
        </w:rPr>
        <w:t>26</w:t>
      </w:r>
      <w:r w:rsidR="00D60A9A" w:rsidRPr="006428E2">
        <w:rPr>
          <w:color w:val="000000"/>
          <w:lang w:val="en-US"/>
        </w:rPr>
        <w:t xml:space="preserve">, № </w:t>
      </w:r>
      <w:r w:rsidR="00D60A9A" w:rsidRPr="00D60A9A">
        <w:rPr>
          <w:color w:val="000000"/>
          <w:lang w:val="en-US"/>
        </w:rPr>
        <w:t>15</w:t>
      </w:r>
      <w:r w:rsidR="00D60A9A" w:rsidRPr="006428E2">
        <w:rPr>
          <w:color w:val="000000"/>
          <w:lang w:val="en-US"/>
        </w:rPr>
        <w:t xml:space="preserve">. P. </w:t>
      </w:r>
      <w:r w:rsidR="00D60A9A" w:rsidRPr="00D60A9A">
        <w:rPr>
          <w:color w:val="000000"/>
          <w:lang w:val="en-US"/>
        </w:rPr>
        <w:t>7326</w:t>
      </w:r>
      <w:r w:rsidR="00D60A9A" w:rsidRPr="006428E2">
        <w:rPr>
          <w:color w:val="000000"/>
          <w:lang w:val="en-US"/>
        </w:rPr>
        <w:t>.</w:t>
      </w:r>
    </w:p>
    <w:p w14:paraId="6665E6C6" w14:textId="77777777" w:rsidR="003F37B8" w:rsidRPr="006428E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6428E2">
        <w:rPr>
          <w:color w:val="000000"/>
          <w:lang w:val="en-US"/>
        </w:rPr>
        <w:t xml:space="preserve">2. </w:t>
      </w:r>
      <w:r w:rsidR="001C3434" w:rsidRPr="001C3434">
        <w:rPr>
          <w:color w:val="000000"/>
          <w:lang w:val="en-US"/>
        </w:rPr>
        <w:t xml:space="preserve">Shulga D. A. </w:t>
      </w:r>
      <w:r w:rsidR="001C3434" w:rsidRPr="006428E2">
        <w:rPr>
          <w:color w:val="000000"/>
          <w:lang w:val="en-US"/>
        </w:rPr>
        <w:t>et al.</w:t>
      </w:r>
      <w:r w:rsidR="001C3434" w:rsidRPr="001C3434">
        <w:rPr>
          <w:color w:val="000000"/>
          <w:lang w:val="en-US"/>
        </w:rPr>
        <w:t xml:space="preserve"> In silico structure-based approach for group efficiency estimation in fragment-based drug design using evaluation of fragment contributions </w:t>
      </w:r>
      <w:r w:rsidRPr="006428E2">
        <w:rPr>
          <w:color w:val="000000"/>
          <w:lang w:val="en-US"/>
        </w:rPr>
        <w:t xml:space="preserve">// </w:t>
      </w:r>
      <w:r w:rsidR="001C3434" w:rsidRPr="001C3434">
        <w:rPr>
          <w:color w:val="000000"/>
          <w:lang w:val="en-US"/>
        </w:rPr>
        <w:t>Molecules</w:t>
      </w:r>
      <w:r w:rsidRPr="006428E2">
        <w:rPr>
          <w:color w:val="000000"/>
          <w:lang w:val="en-US"/>
        </w:rPr>
        <w:t xml:space="preserve">. </w:t>
      </w:r>
      <w:r w:rsidR="001C3434" w:rsidRPr="001C3434">
        <w:rPr>
          <w:color w:val="000000"/>
          <w:lang w:val="en-US"/>
        </w:rPr>
        <w:t>2022</w:t>
      </w:r>
      <w:r w:rsidRPr="006428E2">
        <w:rPr>
          <w:color w:val="000000"/>
          <w:lang w:val="en-US"/>
        </w:rPr>
        <w:t xml:space="preserve">. Vol. </w:t>
      </w:r>
      <w:r w:rsidR="001C3434" w:rsidRPr="001C3434">
        <w:rPr>
          <w:color w:val="000000"/>
          <w:lang w:val="en-US"/>
        </w:rPr>
        <w:t>27</w:t>
      </w:r>
      <w:r w:rsidRPr="006428E2">
        <w:rPr>
          <w:color w:val="000000"/>
          <w:lang w:val="en-US"/>
        </w:rPr>
        <w:t xml:space="preserve">, № </w:t>
      </w:r>
      <w:r w:rsidR="001C3434">
        <w:rPr>
          <w:color w:val="000000"/>
          <w:lang w:val="en-US"/>
        </w:rPr>
        <w:t>6</w:t>
      </w:r>
      <w:r w:rsidRPr="006428E2">
        <w:rPr>
          <w:color w:val="000000"/>
          <w:lang w:val="en-US"/>
        </w:rPr>
        <w:t xml:space="preserve">. P. </w:t>
      </w:r>
      <w:r w:rsidR="001C3434" w:rsidRPr="001C3434">
        <w:rPr>
          <w:color w:val="000000"/>
          <w:lang w:val="en-US"/>
        </w:rPr>
        <w:t>1985</w:t>
      </w:r>
      <w:r w:rsidRPr="006428E2">
        <w:rPr>
          <w:color w:val="000000"/>
          <w:lang w:val="en-US"/>
        </w:rPr>
        <w:t>.</w:t>
      </w:r>
    </w:p>
    <w:p w14:paraId="6E533350" w14:textId="77777777" w:rsidR="003F37B8" w:rsidRPr="00D60A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6428E2">
        <w:rPr>
          <w:color w:val="000000"/>
          <w:lang w:val="en-US"/>
        </w:rPr>
        <w:t xml:space="preserve">3. </w:t>
      </w:r>
      <w:r w:rsidR="00D60A9A" w:rsidRPr="00D60A9A">
        <w:rPr>
          <w:color w:val="000000"/>
          <w:lang w:val="en-US"/>
        </w:rPr>
        <w:t>McNutt A. T. et al. GNINA 1.3: the next increment in molecular docking with deep learning</w:t>
      </w:r>
      <w:r w:rsidR="00B863BB" w:rsidRPr="00B863BB">
        <w:rPr>
          <w:color w:val="000000"/>
          <w:lang w:val="en-US"/>
        </w:rPr>
        <w:t> </w:t>
      </w:r>
      <w:r w:rsidR="00D60A9A">
        <w:rPr>
          <w:color w:val="000000"/>
          <w:lang w:val="en-US"/>
        </w:rPr>
        <w:t>//</w:t>
      </w:r>
      <w:r w:rsidR="00B863BB" w:rsidRPr="00B863BB">
        <w:rPr>
          <w:color w:val="000000"/>
          <w:lang w:val="en-US"/>
        </w:rPr>
        <w:t> </w:t>
      </w:r>
      <w:r w:rsidR="00D60A9A" w:rsidRPr="00D60A9A">
        <w:rPr>
          <w:color w:val="000000"/>
          <w:lang w:val="en-US"/>
        </w:rPr>
        <w:t>J. Cheminform</w:t>
      </w:r>
      <w:r w:rsidR="00D60A9A" w:rsidRPr="006428E2">
        <w:rPr>
          <w:color w:val="000000"/>
          <w:lang w:val="en-US"/>
        </w:rPr>
        <w:t xml:space="preserve">. </w:t>
      </w:r>
      <w:r w:rsidR="00D60A9A" w:rsidRPr="00D60A9A">
        <w:rPr>
          <w:color w:val="000000"/>
          <w:lang w:val="en-US"/>
        </w:rPr>
        <w:t>2025</w:t>
      </w:r>
      <w:r w:rsidR="00D60A9A" w:rsidRPr="006428E2">
        <w:rPr>
          <w:color w:val="000000"/>
          <w:lang w:val="en-US"/>
        </w:rPr>
        <w:t xml:space="preserve">. Vol. </w:t>
      </w:r>
      <w:r w:rsidR="00D60A9A" w:rsidRPr="00D60A9A">
        <w:rPr>
          <w:color w:val="000000"/>
          <w:lang w:val="en-US"/>
        </w:rPr>
        <w:t>17</w:t>
      </w:r>
      <w:r w:rsidR="00D60A9A" w:rsidRPr="006428E2">
        <w:rPr>
          <w:color w:val="000000"/>
          <w:lang w:val="en-US"/>
        </w:rPr>
        <w:t xml:space="preserve">, № </w:t>
      </w:r>
      <w:r w:rsidR="00D60A9A">
        <w:rPr>
          <w:color w:val="000000"/>
          <w:lang w:val="en-US"/>
        </w:rPr>
        <w:t>1</w:t>
      </w:r>
      <w:r w:rsidR="00D60A9A" w:rsidRPr="006428E2">
        <w:rPr>
          <w:color w:val="000000"/>
          <w:lang w:val="en-US"/>
        </w:rPr>
        <w:t xml:space="preserve">. P. </w:t>
      </w:r>
      <w:r w:rsidR="00D60A9A">
        <w:rPr>
          <w:color w:val="000000"/>
          <w:lang w:val="en-US"/>
        </w:rPr>
        <w:t>28</w:t>
      </w:r>
      <w:r w:rsidR="00D60A9A" w:rsidRPr="006428E2">
        <w:rPr>
          <w:color w:val="000000"/>
          <w:lang w:val="en-US"/>
        </w:rPr>
        <w:t>.</w:t>
      </w:r>
    </w:p>
    <w:sectPr w:rsidR="003F37B8" w:rsidRPr="00D60A9A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B8"/>
    <w:rsid w:val="00094F51"/>
    <w:rsid w:val="001608B6"/>
    <w:rsid w:val="001A2FC6"/>
    <w:rsid w:val="001C3434"/>
    <w:rsid w:val="00247553"/>
    <w:rsid w:val="00293712"/>
    <w:rsid w:val="002E6829"/>
    <w:rsid w:val="002F4695"/>
    <w:rsid w:val="003D5E3F"/>
    <w:rsid w:val="003F37B8"/>
    <w:rsid w:val="00480207"/>
    <w:rsid w:val="006428E2"/>
    <w:rsid w:val="0075547F"/>
    <w:rsid w:val="00756768"/>
    <w:rsid w:val="0076194A"/>
    <w:rsid w:val="00855C87"/>
    <w:rsid w:val="008822CF"/>
    <w:rsid w:val="00970E59"/>
    <w:rsid w:val="009A2EE3"/>
    <w:rsid w:val="009E1287"/>
    <w:rsid w:val="00A331BE"/>
    <w:rsid w:val="00B863BB"/>
    <w:rsid w:val="00BD386F"/>
    <w:rsid w:val="00C60E17"/>
    <w:rsid w:val="00CD7288"/>
    <w:rsid w:val="00D45F8D"/>
    <w:rsid w:val="00D60A9A"/>
    <w:rsid w:val="00F1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9DEE2"/>
  <w15:docId w15:val="{A653536A-5576-2D43-B548-FF61104C3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Revision"/>
    <w:hidden/>
    <w:uiPriority w:val="99"/>
    <w:semiHidden/>
    <w:rsid w:val="006428E2"/>
  </w:style>
  <w:style w:type="character" w:styleId="a6">
    <w:name w:val="Hyperlink"/>
    <w:basedOn w:val="a0"/>
    <w:uiPriority w:val="99"/>
    <w:unhideWhenUsed/>
    <w:rsid w:val="00D60A9A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60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07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5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Polina Nikiforova</cp:lastModifiedBy>
  <cp:revision>16</cp:revision>
  <cp:lastPrinted>2026-03-02T09:37:00Z</cp:lastPrinted>
  <dcterms:created xsi:type="dcterms:W3CDTF">2026-03-01T22:49:00Z</dcterms:created>
  <dcterms:modified xsi:type="dcterms:W3CDTF">2026-03-09T19:20:00Z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