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rFonts w:hint="default"/>
          <w:color w:val="000000"/>
          <w:lang w:val="ru-RU"/>
        </w:rPr>
      </w:pPr>
      <w:r>
        <w:rPr>
          <w:rFonts w:hint="default"/>
          <w:b/>
          <w:color w:val="000000"/>
          <w:lang w:val="ru-RU"/>
        </w:rPr>
        <w:t>Исследование структурных факторов, определяющих редокс-активность комплексов меди(II)</w:t>
      </w:r>
    </w:p>
    <w:p w14:paraId="0000000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  <w:lang w:val="ru-RU"/>
        </w:rPr>
        <w:t>Рубцов</w:t>
      </w:r>
      <w:r>
        <w:rPr>
          <w:b/>
          <w:i/>
          <w:color w:val="000000"/>
        </w:rPr>
        <w:t xml:space="preserve"> </w:t>
      </w:r>
      <w:r>
        <w:rPr>
          <w:b/>
          <w:i/>
          <w:color w:val="000000"/>
          <w:lang w:val="ru-RU"/>
        </w:rPr>
        <w:t>Н</w:t>
      </w:r>
      <w:r>
        <w:rPr>
          <w:b/>
          <w:i/>
          <w:color w:val="000000"/>
        </w:rPr>
        <w:t>.</w:t>
      </w:r>
      <w:r>
        <w:rPr>
          <w:b/>
          <w:i/>
          <w:color w:val="000000"/>
          <w:lang w:val="ru-RU"/>
        </w:rPr>
        <w:t>Н</w:t>
      </w:r>
      <w:r>
        <w:rPr>
          <w:b/>
          <w:i/>
          <w:color w:val="000000"/>
        </w:rPr>
        <w:t xml:space="preserve">., </w:t>
      </w:r>
      <w:r>
        <w:rPr>
          <w:b/>
          <w:i/>
          <w:color w:val="000000"/>
          <w:lang w:val="ru-RU"/>
        </w:rPr>
        <w:t>Штиль</w:t>
      </w:r>
      <w:r>
        <w:rPr>
          <w:b/>
          <w:i/>
          <w:color w:val="000000"/>
        </w:rPr>
        <w:t xml:space="preserve"> </w:t>
      </w:r>
      <w:r>
        <w:rPr>
          <w:b/>
          <w:i/>
          <w:color w:val="000000"/>
          <w:lang w:val="ru-RU"/>
        </w:rPr>
        <w:t>А</w:t>
      </w:r>
      <w:r>
        <w:rPr>
          <w:b/>
          <w:i/>
          <w:color w:val="000000"/>
        </w:rPr>
        <w:t>.</w:t>
      </w:r>
      <w:r>
        <w:rPr>
          <w:b/>
          <w:i/>
          <w:color w:val="000000"/>
          <w:lang w:val="ru-RU"/>
        </w:rPr>
        <w:t>А</w:t>
      </w:r>
      <w:r>
        <w:rPr>
          <w:b/>
          <w:i/>
          <w:color w:val="000000"/>
        </w:rPr>
        <w:t>.</w:t>
      </w:r>
    </w:p>
    <w:p w14:paraId="000000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>
        <w:rPr>
          <w:rFonts w:hint="default"/>
          <w:i/>
          <w:color w:val="000000"/>
          <w:lang w:val="ru-RU"/>
        </w:rPr>
        <w:t>1</w:t>
      </w:r>
      <w:r>
        <w:rPr>
          <w:i/>
          <w:color w:val="000000"/>
        </w:rPr>
        <w:t xml:space="preserve"> курс </w:t>
      </w:r>
      <w:r>
        <w:rPr>
          <w:i/>
          <w:color w:val="000000"/>
          <w:lang w:val="ru-RU"/>
        </w:rPr>
        <w:t>магистратуры</w:t>
      </w:r>
    </w:p>
    <w:p w14:paraId="01F233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Национальный исследовательский ядерный университет «МИФИ», </w:t>
      </w:r>
    </w:p>
    <w:p w14:paraId="000000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Москва, Россия</w:t>
      </w:r>
    </w:p>
    <w:p w14:paraId="000000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E-mail: </w:t>
      </w:r>
      <w:r>
        <w:rPr>
          <w:rFonts w:hint="default"/>
          <w:i/>
          <w:color w:val="000000"/>
          <w:lang w:val="en-US"/>
        </w:rPr>
        <w:t>vanil_paniil@list.ru</w:t>
      </w:r>
    </w:p>
    <w:p w14:paraId="49B0DA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rFonts w:hint="default"/>
          <w:color w:val="000000"/>
          <w:lang w:val="ru-RU"/>
        </w:rPr>
      </w:pPr>
      <w:r>
        <w:rPr>
          <w:rFonts w:hint="default"/>
          <w:color w:val="000000"/>
          <w:lang w:val="en-US"/>
        </w:rPr>
        <w:t>Комплексы меди(II) рассматриваются как перспективные противоопухолевые агенты, способные индуцировать выраженный окислительный стресс за счёт генерации активных форм кислорода</w:t>
      </w:r>
      <w:r>
        <w:rPr>
          <w:rFonts w:hint="default"/>
          <w:color w:val="000000"/>
          <w:lang w:val="ru-RU"/>
        </w:rPr>
        <w:t xml:space="preserve"> в результате катализа реакции Фентона в клеточной среде, что особенно актуально для лечения форм рака, имеющих лекарственную резистентность. В отличие от препаратов на основе платины, медь является эссенциальным микроэлементом, а её соединения обладают меньшей системной токсичностью благодаря наличию естественных механизмов метаболического контроля и выведения.</w:t>
      </w:r>
    </w:p>
    <w:p w14:paraId="3BC2725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rFonts w:hint="default"/>
          <w:color w:val="000000"/>
          <w:lang w:val="ru-RU"/>
        </w:rPr>
      </w:pPr>
      <w:r>
        <w:rPr>
          <w:rFonts w:hint="default"/>
          <w:color w:val="000000"/>
          <w:lang w:val="ru-RU"/>
        </w:rPr>
        <w:t xml:space="preserve">В работе </w:t>
      </w:r>
      <w:r>
        <w:rPr>
          <w:rFonts w:hint="default"/>
          <w:color w:val="000000"/>
          <w:lang w:val="en-US"/>
        </w:rPr>
        <w:t>[1]</w:t>
      </w:r>
      <w:r>
        <w:rPr>
          <w:rFonts w:hint="default"/>
          <w:color w:val="000000"/>
          <w:lang w:val="ru-RU"/>
        </w:rPr>
        <w:t xml:space="preserve"> был синтезирован ряд из 11 комплексов меди(II), разделённых на три группы по типу лиганда: (1) производные пиридилбензотиазола и пиридилбензимидазола, (2) тиосемикарбазоны и (3) порфириновые лиганды. Наибольшую цитотоксичность по отношению к клеткам колоректальной карциномы HCT116 и миелоидной лейкемии K562  продемонстрировали комплексы первой группы; умеренную - второй; соединения третьей г</w:t>
      </w:r>
      <w:bookmarkStart w:id="0" w:name="_GoBack"/>
      <w:bookmarkEnd w:id="0"/>
      <w:r>
        <w:rPr>
          <w:rFonts w:hint="default"/>
          <w:color w:val="000000"/>
          <w:lang w:val="ru-RU"/>
        </w:rPr>
        <w:t>руппы оказались неактивными. Экспериментально показано, что каталитическая активность имеет высокую корреляцию со значением окислительно-восстановительного потенциала E(Cu</w:t>
      </w:r>
      <w:r>
        <w:rPr>
          <w:rFonts w:hint="default"/>
          <w:color w:val="000000"/>
          <w:vertAlign w:val="superscript"/>
          <w:lang w:val="ru-RU"/>
        </w:rPr>
        <w:t>2+</w:t>
      </w:r>
      <w:r>
        <w:rPr>
          <w:rFonts w:hint="default"/>
          <w:color w:val="000000"/>
          <w:lang w:val="ru-RU"/>
        </w:rPr>
        <w:t>/Cu</w:t>
      </w:r>
      <w:r>
        <w:rPr>
          <w:rFonts w:hint="default"/>
          <w:color w:val="000000"/>
          <w:vertAlign w:val="superscript"/>
          <w:lang w:val="ru-RU"/>
        </w:rPr>
        <w:t>+</w:t>
      </w:r>
      <w:r>
        <w:rPr>
          <w:rFonts w:hint="default"/>
          <w:color w:val="000000"/>
          <w:lang w:val="ru-RU"/>
        </w:rPr>
        <w:t>) и падает в ряду 1 &gt; 2 &gt; 3, однако связь между строением и редокс-свойствами установлена не была.</w:t>
      </w:r>
    </w:p>
    <w:p w14:paraId="07DDA0B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rFonts w:hint="default"/>
          <w:color w:val="000000"/>
          <w:lang w:val="ru-RU"/>
        </w:rPr>
      </w:pPr>
      <w:r>
        <w:rPr>
          <w:rFonts w:hint="default"/>
          <w:color w:val="000000"/>
          <w:lang w:val="ru-RU"/>
        </w:rPr>
        <w:t>Целью настоящей работы являлось выявление структурных факторов, определяющих различие в окислительной способности нейтральных комплексов меди(II) указанных типов. Адиабатическое сродство к электрону (EA), рассчитанное методом ωB97M-D4/def2-TZVPPD, убывает в ряду 1 &gt; 2 &gt; 3, что качественно воспроизводит экспериментальную последовательность изменения редокс-потенциалов. Суммарная энергия координационных связей внутри комплекса возрастает в ряду 1 &lt; 3 &lt; 2.</w:t>
      </w:r>
    </w:p>
    <w:p w14:paraId="61880FB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rFonts w:hint="default"/>
          <w:color w:val="000000"/>
          <w:lang w:val="ru-RU"/>
        </w:rPr>
      </w:pPr>
      <w:r>
        <w:rPr>
          <w:rFonts w:hint="default"/>
          <w:color w:val="000000"/>
          <w:lang w:val="ru-RU"/>
        </w:rPr>
        <w:t xml:space="preserve">Показано, что определяющим фактором является не только донорная сила лиганда, но и его гибкость, обеспечивающая структурную релаксацию комплекса при восстановлении Cu(II) → Cu(I). Для комплексов второй группы возможность перехода от плоско-квадратной к тетраэдрической геометрии стабилизирует восстановленное состояние и повышает EA. Порфириновые комплексы обладают жёстким каркасом и сохраняют плоско-квадратную координацию в обоих формах, что дестабилизирует  электронную конфигурацию </w:t>
      </w:r>
      <w:r>
        <w:rPr>
          <w:rFonts w:hint="default"/>
          <w:color w:val="000000"/>
          <w:lang w:val="en-US"/>
        </w:rPr>
        <w:t>d</w:t>
      </w:r>
      <w:r>
        <w:rPr>
          <w:rFonts w:hint="default"/>
          <w:color w:val="000000"/>
          <w:vertAlign w:val="superscript"/>
          <w:lang w:val="en-US"/>
        </w:rPr>
        <w:t>10</w:t>
      </w:r>
      <w:r>
        <w:rPr>
          <w:rFonts w:hint="default"/>
          <w:color w:val="000000"/>
          <w:lang w:val="ru-RU"/>
        </w:rPr>
        <w:t xml:space="preserve"> и приводит к минимальному значению ЕА. В случае первой группы слабое поле лиганда и исходно тетраэдрическая геометрия способствуют высокой окислительной способности без необходимости существенной перестройки структуры.</w:t>
      </w:r>
    </w:p>
    <w:p w14:paraId="3F35F5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ind w:firstLine="397"/>
        <w:jc w:val="both"/>
        <w:rPr>
          <w:rFonts w:hint="default"/>
          <w:color w:val="000000"/>
          <w:lang w:val="ru-RU"/>
        </w:rPr>
      </w:pPr>
      <w:r>
        <w:rPr>
          <w:rFonts w:hint="default"/>
          <w:color w:val="000000"/>
          <w:lang w:val="ru-RU"/>
        </w:rPr>
        <w:t>Для проверки предложенной гипотезы выполнен расчёт ЕА модифицированных структур с варьированием жёсткости лигандного окружения металлоцентра. Показано, что увеличение гибкости (например, за счёт частичного насыщения кратных связей или разрыва σ-связи при сохранении координационного числа и изоэлектронности донорных центров) приводит к росту EA на 40-50 кДж</w:t>
      </w:r>
      <w:r>
        <w:rPr>
          <w:rFonts w:hint="default"/>
          <w:color w:val="000000"/>
          <w:lang w:val="en-US"/>
        </w:rPr>
        <w:t>/</w:t>
      </w:r>
      <w:r>
        <w:rPr>
          <w:rFonts w:hint="default"/>
          <w:color w:val="000000"/>
          <w:lang w:val="ru-RU"/>
        </w:rPr>
        <w:t>моль, а в отдельных случаях - на 160 кДж</w:t>
      </w:r>
      <w:r>
        <w:rPr>
          <w:rFonts w:hint="default"/>
          <w:color w:val="000000"/>
          <w:lang w:val="en-US"/>
        </w:rPr>
        <w:t>/</w:t>
      </w:r>
      <w:r>
        <w:rPr>
          <w:rFonts w:hint="default"/>
          <w:color w:val="000000"/>
          <w:lang w:val="ru-RU"/>
        </w:rPr>
        <w:t>моль. Напротив, усиление жёсткости сопровождается снижением EA примерно на 30 кДж</w:t>
      </w:r>
      <w:r>
        <w:rPr>
          <w:rFonts w:hint="default"/>
          <w:color w:val="000000"/>
          <w:lang w:val="en-US"/>
        </w:rPr>
        <w:t>/</w:t>
      </w:r>
      <w:r>
        <w:rPr>
          <w:rFonts w:hint="default"/>
          <w:color w:val="000000"/>
          <w:lang w:val="ru-RU"/>
        </w:rPr>
        <w:t>моль.</w:t>
      </w:r>
    </w:p>
    <w:p w14:paraId="000000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5B5A3CB9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jc w:val="both"/>
        <w:rPr>
          <w:color w:val="000000"/>
          <w:lang w:val="en-US"/>
        </w:rPr>
      </w:pPr>
      <w:r>
        <w:rPr>
          <w:rFonts w:hint="default"/>
          <w:color w:val="000000"/>
          <w:lang w:val="ru-RU"/>
        </w:rPr>
        <w:t>1.</w:t>
      </w:r>
      <w:r>
        <w:rPr>
          <w:rFonts w:hint="default"/>
          <w:color w:val="000000"/>
          <w:lang w:val="en-US"/>
        </w:rPr>
        <w:t xml:space="preserve"> Beloglazkina E.K., Moiseeva A.A., Tsymbal S.A., et al. The Copper Reduction Potential Determines the Reductive Cytotoxicity: Relevance to the Design of Metal-Organic Antitumor Drugs // Molecules. 2024. Vol. 29. P. 1032-1045.</w:t>
      </w:r>
    </w:p>
    <w:sectPr>
      <w:pgSz w:w="11906" w:h="16838"/>
      <w:pgMar w:top="1134" w:right="1361" w:bottom="1127" w:left="1361" w:header="709" w:footer="70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  <w:rsid w:val="014B61B3"/>
    <w:rsid w:val="05E649D3"/>
    <w:rsid w:val="0FF765E0"/>
    <w:rsid w:val="106318D6"/>
    <w:rsid w:val="133A05E7"/>
    <w:rsid w:val="18985179"/>
    <w:rsid w:val="1E492D45"/>
    <w:rsid w:val="1EE96C59"/>
    <w:rsid w:val="26753888"/>
    <w:rsid w:val="2A4E3A94"/>
    <w:rsid w:val="2A64468B"/>
    <w:rsid w:val="2F1F456F"/>
    <w:rsid w:val="3D86209A"/>
    <w:rsid w:val="45EA4439"/>
    <w:rsid w:val="4760377D"/>
    <w:rsid w:val="582562F7"/>
    <w:rsid w:val="5B9A364D"/>
    <w:rsid w:val="609870D0"/>
    <w:rsid w:val="6C4B45B8"/>
    <w:rsid w:val="6D23077B"/>
    <w:rsid w:val="6D9D0CAB"/>
    <w:rsid w:val="730C162E"/>
    <w:rsid w:val="74AB75D2"/>
    <w:rsid w:val="78DF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Strong"/>
    <w:basedOn w:val="8"/>
    <w:qFormat/>
    <w:uiPriority w:val="22"/>
    <w:rPr>
      <w:b/>
      <w:bCs/>
    </w:rPr>
  </w:style>
  <w:style w:type="paragraph" w:styleId="13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4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15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List Paragraph"/>
    <w:basedOn w:val="1"/>
    <w:link w:val="18"/>
    <w:qFormat/>
    <w:uiPriority w:val="34"/>
    <w:pPr>
      <w:ind w:left="720"/>
      <w:contextualSpacing/>
    </w:pPr>
  </w:style>
  <w:style w:type="character" w:customStyle="1" w:styleId="18">
    <w:name w:val="Абзац списка Знак"/>
    <w:basedOn w:val="8"/>
    <w:link w:val="17"/>
    <w:qFormat/>
    <w:locked/>
    <w:uiPriority w:val="34"/>
  </w:style>
  <w:style w:type="character" w:styleId="19">
    <w:name w:val="Placeholder Text"/>
    <w:basedOn w:val="8"/>
    <w:semiHidden/>
    <w:qFormat/>
    <w:uiPriority w:val="99"/>
    <w:rPr>
      <w:color w:val="808080"/>
    </w:rPr>
  </w:style>
  <w:style w:type="paragraph" w:styleId="20">
    <w:name w:val="No Spacing"/>
    <w:qFormat/>
    <w:uiPriority w:val="1"/>
    <w:rPr>
      <w:rFonts w:ascii="Calibri" w:hAnsi="Calibri" w:eastAsia="Calibri" w:cs="Times New Roman"/>
      <w:sz w:val="22"/>
      <w:szCs w:val="22"/>
      <w:lang w:val="en-US" w:eastAsia="en-US" w:bidi="en-US"/>
    </w:rPr>
  </w:style>
  <w:style w:type="character" w:customStyle="1" w:styleId="21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Lomonosov MSU</Company>
  <Pages>1</Pages>
  <Words>553</Words>
  <Characters>3157</Characters>
  <Lines>26</Lines>
  <Paragraphs>7</Paragraphs>
  <TotalTime>116</TotalTime>
  <ScaleCrop>false</ScaleCrop>
  <LinksUpToDate>false</LinksUpToDate>
  <CharactersWithSpaces>3703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2026-01-28T14:24:00Z</dcterms:created>
  <dc:creator>User</dc:creator>
  <cp:lastModifiedBy>Владимир Растра�</cp:lastModifiedBy>
  <cp:lastPrinted>2026-01-28T14:24:00Z</cp:lastPrinted>
  <dcterms:modified xsi:type="dcterms:W3CDTF">2026-03-01T18:03:17Z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1049-12.2.0.23196</vt:lpwstr>
  </property>
  <property fmtid="{D5CDD505-2E9C-101B-9397-08002B2CF9AE}" pid="26" name="ICV">
    <vt:lpwstr>FB6B095414E84DEDABB6E6D720F2E361_12</vt:lpwstr>
  </property>
</Properties>
</file>