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C8E61FF" w:rsidR="00130241" w:rsidRPr="003048E9" w:rsidRDefault="005B3D62" w:rsidP="005B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color w:val="000000"/>
          <w:lang w:eastAsia="zh-CN"/>
        </w:rPr>
      </w:pPr>
      <w:r w:rsidRPr="003048E9">
        <w:rPr>
          <w:rFonts w:hint="eastAsia"/>
          <w:b/>
          <w:color w:val="000000"/>
        </w:rPr>
        <w:t xml:space="preserve">Селективное гидрирование диенов в присутствии </w:t>
      </w:r>
      <w:r w:rsidRPr="003048E9">
        <w:rPr>
          <w:b/>
          <w:color w:val="000000"/>
          <w:lang w:val="en-US"/>
        </w:rPr>
        <w:t>Ni</w:t>
      </w:r>
      <w:r w:rsidRPr="003048E9">
        <w:rPr>
          <w:b/>
          <w:color w:val="000000"/>
        </w:rPr>
        <w:t>-</w:t>
      </w:r>
      <w:r w:rsidRPr="003048E9">
        <w:rPr>
          <w:b/>
          <w:color w:val="000000"/>
          <w:lang w:val="en-US"/>
        </w:rPr>
        <w:t>Mo</w:t>
      </w:r>
      <w:r w:rsidRPr="003048E9">
        <w:rPr>
          <w:b/>
          <w:color w:val="000000"/>
        </w:rPr>
        <w:t xml:space="preserve">-сульфидных катализаторов на основе структурированного мезопористого силиката </w:t>
      </w:r>
      <w:r w:rsidRPr="003048E9">
        <w:rPr>
          <w:b/>
          <w:color w:val="000000"/>
          <w:lang w:val="en-US"/>
        </w:rPr>
        <w:t>HMS</w:t>
      </w:r>
    </w:p>
    <w:p w14:paraId="441D1AE2" w14:textId="6D68D98F" w:rsidR="005B3D62" w:rsidRPr="005B3D62" w:rsidRDefault="005B3D62" w:rsidP="005B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B3D62">
        <w:rPr>
          <w:b/>
          <w:color w:val="000000"/>
        </w:rPr>
        <w:t>Дай Сыцзин, Таланова М.Ю, Вутолкина А.В.</w:t>
      </w:r>
    </w:p>
    <w:p w14:paraId="40579A62" w14:textId="1219E98A" w:rsidR="005B3D62" w:rsidRPr="005B3D62" w:rsidRDefault="005B3D62" w:rsidP="005B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3D62">
        <w:rPr>
          <w:i/>
          <w:color w:val="000000"/>
        </w:rPr>
        <w:t xml:space="preserve">Аспирант, </w:t>
      </w:r>
      <w:r>
        <w:rPr>
          <w:rFonts w:asciiTheme="minorEastAsia" w:eastAsiaTheme="minorEastAsia" w:hAnsiTheme="minorEastAsia" w:hint="eastAsia"/>
          <w:i/>
          <w:color w:val="000000"/>
          <w:lang w:eastAsia="zh-CN"/>
        </w:rPr>
        <w:t>4</w:t>
      </w:r>
      <w:r w:rsidRPr="005B3D62">
        <w:rPr>
          <w:i/>
          <w:color w:val="000000"/>
        </w:rPr>
        <w:t xml:space="preserve"> год обучения</w:t>
      </w:r>
    </w:p>
    <w:p w14:paraId="00000008" w14:textId="2393A4C0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42BDE" w:rsidRPr="00242BDE">
        <w:t xml:space="preserve"> </w:t>
      </w:r>
      <w:hyperlink r:id="rId8" w:history="1">
        <w:r w:rsidR="00242BDE" w:rsidRPr="00242BDE">
          <w:rPr>
            <w:rStyle w:val="a9"/>
            <w:i/>
            <w:color w:val="000000" w:themeColor="text1"/>
          </w:rPr>
          <w:t>sijingdai63@gmail.com</w:t>
        </w:r>
      </w:hyperlink>
      <w:r>
        <w:rPr>
          <w:i/>
          <w:color w:val="000000"/>
        </w:rPr>
        <w:t xml:space="preserve"> </w:t>
      </w:r>
    </w:p>
    <w:p w14:paraId="6B013213" w14:textId="13714DF5" w:rsidR="000A2ECB" w:rsidRPr="000A2ECB" w:rsidRDefault="00434074" w:rsidP="000A2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Calibri" w:eastAsia="Calibri" w:hAnsi="Calibri" w:cs="Calibri"/>
          <w:lang w:eastAsia="zh-CN"/>
        </w:rPr>
      </w:pPr>
      <w:bookmarkStart w:id="0" w:name="OLE_LINK3"/>
      <w:r w:rsidRPr="00434074">
        <w:rPr>
          <w:color w:val="000000"/>
        </w:rPr>
        <w:t>Ключевым процессом в производстве «чистых» топлив является процесс гидроочистки. Однако использование традиционных Co(Ni)Mo(W)S/Al2O3 катализаторов гидроочистки вызывает чрезмерное гидрирование олефиновых углеводородов и приводит к получению алканов, что, в свою очередь, приводит к значительной потере октанового числа гидрогенизата</w:t>
      </w:r>
      <w:r w:rsidR="00B41106" w:rsidRPr="00B41106">
        <w:rPr>
          <w:color w:val="000000"/>
        </w:rPr>
        <w:t>[1].</w:t>
      </w:r>
      <w:bookmarkEnd w:id="0"/>
      <w:r w:rsidRPr="000A2ECB">
        <w:rPr>
          <w:color w:val="000000"/>
        </w:rPr>
        <w:t xml:space="preserve"> </w:t>
      </w:r>
      <w:r w:rsidR="00B41106" w:rsidRPr="00B41106">
        <w:rPr>
          <w:color w:val="000000"/>
        </w:rPr>
        <w:t xml:space="preserve">Полимеризация диенов приводит к </w:t>
      </w:r>
      <w:r w:rsidR="000A2ECB" w:rsidRPr="000A2ECB">
        <w:rPr>
          <w:color w:val="000000"/>
        </w:rPr>
        <w:t>преждевременному</w:t>
      </w:r>
      <w:r w:rsidR="000A2ECB">
        <w:rPr>
          <w:color w:val="000000"/>
        </w:rPr>
        <w:t xml:space="preserve"> </w:t>
      </w:r>
      <w:r w:rsidR="00B41106" w:rsidRPr="00B41106">
        <w:rPr>
          <w:color w:val="000000"/>
        </w:rPr>
        <w:t>закоксовыванию</w:t>
      </w:r>
      <w:r w:rsidR="000A2ECB">
        <w:rPr>
          <w:color w:val="000000"/>
        </w:rPr>
        <w:t xml:space="preserve"> </w:t>
      </w:r>
      <w:r w:rsidR="00B41106" w:rsidRPr="00B41106">
        <w:rPr>
          <w:color w:val="000000"/>
        </w:rPr>
        <w:t>катализатора,</w:t>
      </w:r>
      <w:r w:rsidR="000A2ECB">
        <w:rPr>
          <w:color w:val="000000"/>
        </w:rPr>
        <w:t xml:space="preserve"> </w:t>
      </w:r>
      <w:r w:rsidR="00B41106" w:rsidRPr="00B41106">
        <w:rPr>
          <w:color w:val="000000"/>
        </w:rPr>
        <w:t xml:space="preserve">поэтому селективное </w:t>
      </w:r>
      <w:r w:rsidR="000A2ECB" w:rsidRPr="000A2ECB">
        <w:rPr>
          <w:color w:val="000000"/>
        </w:rPr>
        <w:t>гидрирование</w:t>
      </w:r>
      <w:r w:rsidR="000A2ECB">
        <w:rPr>
          <w:color w:val="000000"/>
        </w:rPr>
        <w:t xml:space="preserve"> </w:t>
      </w:r>
      <w:r w:rsidR="009D20C1">
        <w:rPr>
          <w:color w:val="000000"/>
        </w:rPr>
        <w:t>диенов</w:t>
      </w:r>
      <w:r w:rsidR="00B41106" w:rsidRPr="00B41106">
        <w:rPr>
          <w:color w:val="000000"/>
        </w:rPr>
        <w:t xml:space="preserve"> </w:t>
      </w:r>
      <w:r w:rsidR="000A2ECB">
        <w:rPr>
          <w:color w:val="000000"/>
        </w:rPr>
        <w:t>до</w:t>
      </w:r>
      <w:r w:rsidR="00B41106" w:rsidRPr="00B41106">
        <w:rPr>
          <w:color w:val="000000"/>
        </w:rPr>
        <w:t xml:space="preserve"> моноолефины</w:t>
      </w:r>
      <w:r w:rsidR="009D20C1">
        <w:rPr>
          <w:color w:val="000000"/>
        </w:rPr>
        <w:t xml:space="preserve"> является актуальной задачей</w:t>
      </w:r>
      <w:r w:rsidR="00B41106" w:rsidRPr="00B41106">
        <w:rPr>
          <w:color w:val="000000"/>
        </w:rPr>
        <w:t>.</w:t>
      </w:r>
      <w:r w:rsidR="00235F37" w:rsidRPr="000A2ECB">
        <w:rPr>
          <w:color w:val="000000"/>
        </w:rPr>
        <w:t xml:space="preserve"> </w:t>
      </w:r>
      <w:r w:rsidR="000A2ECB" w:rsidRPr="000A2ECB">
        <w:rPr>
          <w:color w:val="000000"/>
        </w:rPr>
        <w:t xml:space="preserve">Актуальным является разработка катализатора на основе сульфидов переходных металлов, позволяющего проводить  комплексную переработку бензина каталитического крекинга, сочетающую в себе и процессы удаления сернистых соединений, и  частичного гидрирования диенов до моноолефинов с целью сохранения октанового числа. </w:t>
      </w:r>
    </w:p>
    <w:p w14:paraId="6E402676" w14:textId="2793B147" w:rsidR="00226645" w:rsidRPr="000A2ECB" w:rsidRDefault="00235F37" w:rsidP="000A2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177" w:firstLine="425"/>
        <w:jc w:val="both"/>
        <w:rPr>
          <w:color w:val="000000"/>
        </w:rPr>
      </w:pPr>
      <w:r w:rsidRPr="000A2ECB">
        <w:rPr>
          <w:color w:val="000000"/>
        </w:rPr>
        <w:t xml:space="preserve">В настоящей работе были синтезированы, охарактеризованы биметаллические Ni-Mo-S катализаторы на основе мезопористых оксидов кремния структурного типа </w:t>
      </w:r>
      <w:r w:rsidRPr="000A2ECB">
        <w:rPr>
          <w:rFonts w:hint="eastAsia"/>
          <w:color w:val="000000"/>
        </w:rPr>
        <w:t>HMS</w:t>
      </w:r>
      <w:r w:rsidRPr="000A2ECB">
        <w:rPr>
          <w:color w:val="000000"/>
        </w:rPr>
        <w:t>. Каталитические свойства систем были изучены при гидрировании октадиена-1,7</w:t>
      </w:r>
      <w:r w:rsidRPr="000A2ECB">
        <w:rPr>
          <w:rFonts w:hint="eastAsia"/>
          <w:color w:val="000000"/>
        </w:rPr>
        <w:t xml:space="preserve"> </w:t>
      </w:r>
      <w:r w:rsidRPr="000A2ECB">
        <w:rPr>
          <w:color w:val="000000"/>
        </w:rPr>
        <w:t>и гексадиена-1,5 как модел</w:t>
      </w:r>
      <w:r w:rsidR="009D20C1" w:rsidRPr="000A2ECB">
        <w:rPr>
          <w:color w:val="000000"/>
        </w:rPr>
        <w:t>ьных компонентов</w:t>
      </w:r>
      <w:r w:rsidRPr="000A2ECB">
        <w:rPr>
          <w:color w:val="000000"/>
        </w:rPr>
        <w:t xml:space="preserve"> БКК (</w:t>
      </w:r>
      <w:r w:rsidR="00FA4C30" w:rsidRPr="000A2ECB">
        <w:rPr>
          <w:color w:val="000000"/>
        </w:rPr>
        <w:t>Р</w:t>
      </w:r>
      <w:r w:rsidRPr="000A2ECB">
        <w:rPr>
          <w:color w:val="000000"/>
        </w:rPr>
        <w:t>ис. 1).</w:t>
      </w:r>
    </w:p>
    <w:p w14:paraId="4E4A1CA1" w14:textId="446EE8C4" w:rsidR="00E22189" w:rsidRPr="00DE0A86" w:rsidRDefault="00DE0A86" w:rsidP="00DE0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eastAsia="zh-CN"/>
        </w:rPr>
      </w:pPr>
      <w:r>
        <w:rPr>
          <w:noProof/>
        </w:rPr>
        <w:drawing>
          <wp:inline distT="0" distB="0" distL="0" distR="0" wp14:anchorId="421592B9" wp14:editId="634AFAFF">
            <wp:extent cx="4457700" cy="1237229"/>
            <wp:effectExtent l="0" t="0" r="0" b="1270"/>
            <wp:docPr id="19769255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43" cy="12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29FEB" w14:textId="1CD647C8" w:rsidR="00DE0A86" w:rsidRDefault="005625EB" w:rsidP="004A7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i/>
          <w:iCs/>
          <w:color w:val="000000"/>
          <w:lang w:eastAsia="zh-CN"/>
        </w:rPr>
      </w:pPr>
      <w:r w:rsidRPr="005625EB">
        <w:rPr>
          <w:rFonts w:eastAsia="等线"/>
          <w:noProof/>
          <w:kern w:val="2"/>
          <w:sz w:val="16"/>
          <w:szCs w:val="16"/>
        </w:rPr>
        <w:drawing>
          <wp:inline distT="0" distB="0" distL="0" distR="0" wp14:anchorId="62098328" wp14:editId="1E268698">
            <wp:extent cx="2012950" cy="1641079"/>
            <wp:effectExtent l="0" t="0" r="6350" b="0"/>
            <wp:docPr id="11757175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79" cy="165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8E9" w:rsidRPr="003048E9">
        <w:rPr>
          <w:rFonts w:eastAsiaTheme="minorEastAsia"/>
          <w:i/>
          <w:iCs/>
          <w:color w:val="000000"/>
          <w:lang w:eastAsia="zh-CN"/>
        </w:rPr>
        <w:t xml:space="preserve"> </w:t>
      </w:r>
      <w:r w:rsidR="003048E9" w:rsidRPr="003048E9">
        <w:rPr>
          <w:rFonts w:eastAsiaTheme="minorEastAsia"/>
          <w:i/>
          <w:iCs/>
          <w:noProof/>
          <w:color w:val="000000"/>
        </w:rPr>
        <w:drawing>
          <wp:inline distT="0" distB="0" distL="0" distR="0" wp14:anchorId="122BDDC7" wp14:editId="52086F3C">
            <wp:extent cx="1929145" cy="1613708"/>
            <wp:effectExtent l="0" t="0" r="0" b="5715"/>
            <wp:docPr id="144645424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35" cy="162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71289" w14:textId="24DB1AF7" w:rsidR="00DE0A86" w:rsidRDefault="00F5617B" w:rsidP="00593563">
      <w:pPr>
        <w:jc w:val="both"/>
      </w:pPr>
      <w:r>
        <w:t>Рис</w:t>
      </w:r>
      <w:r w:rsidR="00FA4C30">
        <w:t>.</w:t>
      </w:r>
      <w:r>
        <w:t xml:space="preserve"> 1. Схема гидрирования 1,5-гексадиен и 1,7-октадиена </w:t>
      </w:r>
      <w:r w:rsidRPr="00F5617B">
        <w:t>на катализаторах NiMoS/HMS</w:t>
      </w:r>
      <w:r w:rsidR="009D20C1">
        <w:t>.</w:t>
      </w:r>
      <w:r w:rsidRPr="00F5617B">
        <w:t xml:space="preserve"> </w:t>
      </w:r>
      <w:r w:rsidR="009D20C1">
        <w:t>Зависимость селективности по моноенам от конверсии субстратов.</w:t>
      </w:r>
      <w:r w:rsidR="00593563">
        <w:t>(</w:t>
      </w:r>
      <w:r w:rsidR="00593563" w:rsidRPr="00593563">
        <w:t>H</w:t>
      </w:r>
      <w:r w:rsidR="00593563" w:rsidRPr="00FA4C30">
        <w:rPr>
          <w:b/>
          <w:bCs/>
          <w:sz w:val="15"/>
          <w:szCs w:val="15"/>
          <w:vertAlign w:val="subscript"/>
        </w:rPr>
        <w:t>2</w:t>
      </w:r>
      <w:r w:rsidR="00FA4C30">
        <w:t xml:space="preserve"> </w:t>
      </w:r>
      <w:r w:rsidR="00593563" w:rsidRPr="00593563">
        <w:t>5Мпа [Субстраты]/Кат=200/1</w:t>
      </w:r>
      <w:r w:rsidR="000A2ECB">
        <w:t>,Т=</w:t>
      </w:r>
      <w:r w:rsidR="000A2ECB" w:rsidRPr="006E5214">
        <w:rPr>
          <w:color w:val="000000"/>
        </w:rPr>
        <w:t>2</w:t>
      </w:r>
      <w:r w:rsidR="000A2ECB" w:rsidRPr="006E5214">
        <w:rPr>
          <w:rFonts w:hint="eastAsia"/>
          <w:color w:val="000000"/>
        </w:rPr>
        <w:t>2</w:t>
      </w:r>
      <w:r w:rsidR="000A2ECB" w:rsidRPr="006E5214">
        <w:rPr>
          <w:color w:val="000000"/>
        </w:rPr>
        <w:t>0-3</w:t>
      </w:r>
      <w:r w:rsidR="000A2ECB" w:rsidRPr="006E5214">
        <w:rPr>
          <w:rFonts w:hint="eastAsia"/>
          <w:color w:val="000000"/>
        </w:rPr>
        <w:t>2</w:t>
      </w:r>
      <w:r w:rsidR="000A2ECB">
        <w:rPr>
          <w:color w:val="000000"/>
        </w:rPr>
        <w:t>0℃</w:t>
      </w:r>
      <w:r w:rsidR="00593563">
        <w:t>)</w:t>
      </w:r>
    </w:p>
    <w:p w14:paraId="3A84AC25" w14:textId="7E246053" w:rsidR="005625EB" w:rsidRPr="006E5214" w:rsidRDefault="00E34D7F" w:rsidP="006E5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Определены конверсии субстратов и селективность по образующимся алкенам</w:t>
      </w:r>
      <w:r w:rsidR="003048E9" w:rsidRPr="006E5214">
        <w:rPr>
          <w:color w:val="000000"/>
        </w:rPr>
        <w:t xml:space="preserve"> в зависимости от</w:t>
      </w:r>
      <w:r w:rsidR="009D20C1">
        <w:rPr>
          <w:color w:val="000000"/>
        </w:rPr>
        <w:t xml:space="preserve"> </w:t>
      </w:r>
      <w:r w:rsidR="009D20C1" w:rsidRPr="00F5617B">
        <w:t>температурах и времени</w:t>
      </w:r>
      <w:r w:rsidR="009D20C1">
        <w:rPr>
          <w:color w:val="000000"/>
        </w:rPr>
        <w:t xml:space="preserve">. </w:t>
      </w:r>
      <w:r w:rsidR="003048E9" w:rsidRPr="006E5214">
        <w:rPr>
          <w:color w:val="000000"/>
        </w:rPr>
        <w:t>Установлено, что</w:t>
      </w:r>
      <w:r>
        <w:rPr>
          <w:color w:val="000000"/>
        </w:rPr>
        <w:t xml:space="preserve"> для </w:t>
      </w:r>
      <w:r w:rsidR="003048E9" w:rsidRPr="006E5214">
        <w:rPr>
          <w:color w:val="000000"/>
        </w:rPr>
        <w:t>гексадиен</w:t>
      </w:r>
      <w:r>
        <w:rPr>
          <w:color w:val="000000"/>
        </w:rPr>
        <w:t>а-</w:t>
      </w:r>
      <w:r w:rsidRPr="006E5214">
        <w:rPr>
          <w:color w:val="000000"/>
        </w:rPr>
        <w:t>1,5-</w:t>
      </w:r>
      <w:r w:rsidR="003048E9" w:rsidRPr="006E5214">
        <w:rPr>
          <w:color w:val="000000"/>
        </w:rPr>
        <w:t xml:space="preserve"> </w:t>
      </w:r>
      <w:r>
        <w:rPr>
          <w:color w:val="000000"/>
        </w:rPr>
        <w:t xml:space="preserve">за 2ч </w:t>
      </w:r>
      <w:r w:rsidR="003048E9" w:rsidRPr="006E5214">
        <w:rPr>
          <w:color w:val="000000"/>
        </w:rPr>
        <w:t xml:space="preserve">при 240 °C </w:t>
      </w:r>
      <w:r>
        <w:rPr>
          <w:color w:val="000000"/>
        </w:rPr>
        <w:t>конверсия достигает 8</w:t>
      </w:r>
      <w:r w:rsidR="003048E9" w:rsidRPr="006E5214">
        <w:rPr>
          <w:color w:val="000000"/>
        </w:rPr>
        <w:t>5%</w:t>
      </w:r>
      <w:r>
        <w:rPr>
          <w:color w:val="000000"/>
        </w:rPr>
        <w:t>,</w:t>
      </w:r>
      <w:r w:rsidR="003048E9" w:rsidRPr="006E5214">
        <w:rPr>
          <w:color w:val="000000"/>
        </w:rPr>
        <w:t xml:space="preserve"> </w:t>
      </w:r>
      <w:r>
        <w:rPr>
          <w:color w:val="000000"/>
        </w:rPr>
        <w:t>а селективность по гексенам</w:t>
      </w:r>
      <w:r w:rsidR="003048E9" w:rsidRPr="006E5214">
        <w:rPr>
          <w:color w:val="000000"/>
        </w:rPr>
        <w:t xml:space="preserve"> </w:t>
      </w:r>
      <w:r>
        <w:rPr>
          <w:color w:val="000000"/>
        </w:rPr>
        <w:t>75</w:t>
      </w:r>
      <w:r w:rsidR="003048E9" w:rsidRPr="006E5214">
        <w:rPr>
          <w:color w:val="000000"/>
        </w:rPr>
        <w:t>%. Для</w:t>
      </w:r>
      <w:r>
        <w:rPr>
          <w:color w:val="000000"/>
        </w:rPr>
        <w:t xml:space="preserve"> </w:t>
      </w:r>
      <w:r w:rsidR="003048E9" w:rsidRPr="006E5214">
        <w:rPr>
          <w:color w:val="000000"/>
        </w:rPr>
        <w:t>октадиена</w:t>
      </w:r>
      <w:r>
        <w:rPr>
          <w:color w:val="000000"/>
        </w:rPr>
        <w:t>-</w:t>
      </w:r>
      <w:r w:rsidRPr="006E5214">
        <w:rPr>
          <w:color w:val="000000"/>
        </w:rPr>
        <w:t>1,7</w:t>
      </w:r>
      <w:r>
        <w:rPr>
          <w:color w:val="000000"/>
        </w:rPr>
        <w:t xml:space="preserve"> </w:t>
      </w:r>
      <w:r w:rsidR="003048E9" w:rsidRPr="006E5214">
        <w:rPr>
          <w:color w:val="000000"/>
        </w:rPr>
        <w:t xml:space="preserve">при 260 °C </w:t>
      </w:r>
      <w:r>
        <w:rPr>
          <w:color w:val="000000"/>
        </w:rPr>
        <w:t>за</w:t>
      </w:r>
      <w:r w:rsidR="003048E9" w:rsidRPr="006E5214">
        <w:rPr>
          <w:color w:val="000000"/>
        </w:rPr>
        <w:t xml:space="preserve"> 2 ч </w:t>
      </w:r>
      <w:r>
        <w:rPr>
          <w:color w:val="000000"/>
        </w:rPr>
        <w:t>конверсия составила 85</w:t>
      </w:r>
      <w:r w:rsidR="003048E9" w:rsidRPr="006E5214">
        <w:rPr>
          <w:color w:val="000000"/>
        </w:rPr>
        <w:t>%</w:t>
      </w:r>
      <w:r>
        <w:rPr>
          <w:color w:val="000000"/>
        </w:rPr>
        <w:t>, а селективность</w:t>
      </w:r>
      <w:r w:rsidR="003048E9" w:rsidRPr="006E5214">
        <w:rPr>
          <w:color w:val="000000"/>
        </w:rPr>
        <w:t xml:space="preserve"> </w:t>
      </w:r>
      <w:r>
        <w:rPr>
          <w:color w:val="000000"/>
        </w:rPr>
        <w:t>по октенам -почти</w:t>
      </w:r>
      <w:r w:rsidR="003048E9" w:rsidRPr="006E5214">
        <w:rPr>
          <w:color w:val="000000"/>
        </w:rPr>
        <w:t xml:space="preserve"> 80%</w:t>
      </w:r>
      <w:r>
        <w:rPr>
          <w:color w:val="000000"/>
        </w:rPr>
        <w:t>.</w:t>
      </w:r>
    </w:p>
    <w:p w14:paraId="6566F056" w14:textId="030DBEA3" w:rsidR="00226645" w:rsidRDefault="00226645" w:rsidP="0022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26645">
        <w:rPr>
          <w:i/>
          <w:iCs/>
          <w:color w:val="000000"/>
        </w:rPr>
        <w:t>Работа выполнена в рамках государственного задания Нефтехимия и катализ. Рациональное использование углеродсодержащего сырья (госбюджет, раздел 0110, номер ЦИТИС 121031300092-6).</w:t>
      </w:r>
    </w:p>
    <w:p w14:paraId="1974F413" w14:textId="77777777" w:rsidR="00F5617B" w:rsidRPr="009D20C1" w:rsidRDefault="00F5617B" w:rsidP="00F5617B">
      <w:pPr>
        <w:autoSpaceDE w:val="0"/>
        <w:autoSpaceDN w:val="0"/>
        <w:adjustRightInd w:val="0"/>
        <w:jc w:val="center"/>
        <w:rPr>
          <w:rFonts w:eastAsia="等线"/>
          <w:b/>
          <w:kern w:val="2"/>
          <w:lang w:eastAsia="zh-CN"/>
        </w:rPr>
      </w:pPr>
      <w:bookmarkStart w:id="1" w:name="_Hlk223525491"/>
      <w:r w:rsidRPr="00F5617B">
        <w:rPr>
          <w:rFonts w:eastAsia="等线"/>
          <w:b/>
          <w:kern w:val="2"/>
          <w:lang w:eastAsia="zh-CN"/>
        </w:rPr>
        <w:t>Литература</w:t>
      </w:r>
    </w:p>
    <w:p w14:paraId="36C44895" w14:textId="77777777" w:rsidR="00F5617B" w:rsidRPr="00F5617B" w:rsidRDefault="00F5617B" w:rsidP="00F5617B">
      <w:pPr>
        <w:autoSpaceDE w:val="0"/>
        <w:autoSpaceDN w:val="0"/>
        <w:adjustRightInd w:val="0"/>
        <w:jc w:val="both"/>
        <w:rPr>
          <w:rFonts w:eastAsia="等线"/>
          <w:kern w:val="2"/>
          <w:lang w:val="en-US" w:eastAsia="zh-CN"/>
        </w:rPr>
      </w:pPr>
      <w:r w:rsidRPr="009D20C1">
        <w:rPr>
          <w:rFonts w:eastAsia="等线"/>
          <w:kern w:val="2"/>
          <w:lang w:eastAsia="zh-CN"/>
        </w:rPr>
        <w:t xml:space="preserve">1. </w:t>
      </w:r>
      <w:proofErr w:type="spellStart"/>
      <w:r w:rsidRPr="00F5617B">
        <w:rPr>
          <w:rFonts w:eastAsia="等线"/>
          <w:kern w:val="2"/>
          <w:lang w:val="en-US" w:eastAsia="zh-CN"/>
        </w:rPr>
        <w:t>Glotov</w:t>
      </w:r>
      <w:proofErr w:type="spellEnd"/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</w:t>
      </w:r>
      <w:r w:rsidRPr="009D20C1">
        <w:rPr>
          <w:rFonts w:eastAsia="等线"/>
          <w:kern w:val="2"/>
          <w:lang w:eastAsia="zh-CN"/>
        </w:rPr>
        <w:t xml:space="preserve">., </w:t>
      </w:r>
      <w:proofErr w:type="spellStart"/>
      <w:r w:rsidRPr="00F5617B">
        <w:rPr>
          <w:rFonts w:eastAsia="等线"/>
          <w:kern w:val="2"/>
          <w:lang w:val="en-US" w:eastAsia="zh-CN"/>
        </w:rPr>
        <w:t>Vutolkina</w:t>
      </w:r>
      <w:proofErr w:type="spellEnd"/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</w:t>
      </w:r>
      <w:r w:rsidRPr="009D20C1">
        <w:rPr>
          <w:rFonts w:eastAsia="等线"/>
          <w:kern w:val="2"/>
          <w:lang w:eastAsia="zh-CN"/>
        </w:rPr>
        <w:t xml:space="preserve">., </w:t>
      </w:r>
      <w:proofErr w:type="spellStart"/>
      <w:r w:rsidRPr="00F5617B">
        <w:rPr>
          <w:rFonts w:eastAsia="等线"/>
          <w:kern w:val="2"/>
          <w:lang w:val="en-US" w:eastAsia="zh-CN"/>
        </w:rPr>
        <w:t>Pimerzin</w:t>
      </w:r>
      <w:proofErr w:type="spellEnd"/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</w:t>
      </w:r>
      <w:r w:rsidRPr="009D20C1">
        <w:rPr>
          <w:rFonts w:eastAsia="等线"/>
          <w:kern w:val="2"/>
          <w:lang w:eastAsia="zh-CN"/>
        </w:rPr>
        <w:t xml:space="preserve">., </w:t>
      </w:r>
      <w:r w:rsidRPr="00F5617B">
        <w:rPr>
          <w:rFonts w:eastAsia="等线"/>
          <w:kern w:val="2"/>
          <w:lang w:val="en-US" w:eastAsia="zh-CN"/>
        </w:rPr>
        <w:t>Vinokurov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V</w:t>
      </w:r>
      <w:r w:rsidRPr="009D20C1">
        <w:rPr>
          <w:rFonts w:eastAsia="等线"/>
          <w:kern w:val="2"/>
          <w:lang w:eastAsia="zh-CN"/>
        </w:rPr>
        <w:t xml:space="preserve">. </w:t>
      </w:r>
      <w:r w:rsidRPr="00F5617B">
        <w:rPr>
          <w:rFonts w:eastAsia="等线"/>
          <w:kern w:val="2"/>
          <w:lang w:val="en-US" w:eastAsia="zh-CN"/>
        </w:rPr>
        <w:t>Enhanced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HDS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and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HYD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activity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of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sulfide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Co</w:t>
      </w:r>
      <w:r w:rsidRPr="009D20C1">
        <w:rPr>
          <w:rFonts w:eastAsia="等线"/>
          <w:kern w:val="2"/>
          <w:lang w:eastAsia="zh-CN"/>
        </w:rPr>
        <w:t>-</w:t>
      </w:r>
      <w:proofErr w:type="spellStart"/>
      <w:r w:rsidRPr="00F5617B">
        <w:rPr>
          <w:rFonts w:eastAsia="等线"/>
          <w:kern w:val="2"/>
          <w:lang w:val="en-US" w:eastAsia="zh-CN"/>
        </w:rPr>
        <w:t>PMo</w:t>
      </w:r>
      <w:proofErr w:type="spellEnd"/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catalyst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supported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on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alumina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and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structured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mesoporous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silica</w:t>
      </w:r>
      <w:r w:rsidRPr="009D20C1">
        <w:rPr>
          <w:rFonts w:eastAsia="等线"/>
          <w:kern w:val="2"/>
          <w:lang w:eastAsia="zh-CN"/>
        </w:rPr>
        <w:t xml:space="preserve"> </w:t>
      </w:r>
      <w:r w:rsidRPr="00F5617B">
        <w:rPr>
          <w:rFonts w:eastAsia="等线"/>
          <w:kern w:val="2"/>
          <w:lang w:val="en-US" w:eastAsia="zh-CN"/>
        </w:rPr>
        <w:t>composite</w:t>
      </w:r>
      <w:r w:rsidRPr="009D20C1">
        <w:rPr>
          <w:rFonts w:eastAsia="等线"/>
          <w:kern w:val="2"/>
          <w:lang w:eastAsia="zh-CN"/>
        </w:rPr>
        <w:t xml:space="preserve"> // </w:t>
      </w:r>
      <w:proofErr w:type="spellStart"/>
      <w:r w:rsidRPr="00F5617B">
        <w:rPr>
          <w:rFonts w:eastAsia="等线"/>
          <w:kern w:val="2"/>
          <w:lang w:val="en-US" w:eastAsia="zh-CN"/>
        </w:rPr>
        <w:t>Catal</w:t>
      </w:r>
      <w:proofErr w:type="spellEnd"/>
      <w:r w:rsidRPr="009D20C1">
        <w:rPr>
          <w:rFonts w:eastAsia="等线"/>
          <w:kern w:val="2"/>
          <w:lang w:eastAsia="zh-CN"/>
        </w:rPr>
        <w:t xml:space="preserve">. </w:t>
      </w:r>
      <w:r w:rsidRPr="00F5617B">
        <w:rPr>
          <w:rFonts w:eastAsia="等线"/>
          <w:kern w:val="2"/>
          <w:lang w:val="en-US" w:eastAsia="zh-CN"/>
        </w:rPr>
        <w:t>Today. 2021. V. 377. P.82–91.</w:t>
      </w:r>
      <w:bookmarkEnd w:id="1"/>
    </w:p>
    <w:sectPr w:rsidR="00F5617B" w:rsidRPr="00F5617B" w:rsidSect="00242B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FFB4" w14:textId="77777777" w:rsidR="00DF5D99" w:rsidRDefault="00DF5D99" w:rsidP="00593563">
      <w:r>
        <w:separator/>
      </w:r>
    </w:p>
  </w:endnote>
  <w:endnote w:type="continuationSeparator" w:id="0">
    <w:p w14:paraId="372726D5" w14:textId="77777777" w:rsidR="00DF5D99" w:rsidRDefault="00DF5D99" w:rsidP="0059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9D58" w14:textId="77777777" w:rsidR="00DF5D99" w:rsidRDefault="00DF5D99" w:rsidP="00593563">
      <w:r>
        <w:separator/>
      </w:r>
    </w:p>
  </w:footnote>
  <w:footnote w:type="continuationSeparator" w:id="0">
    <w:p w14:paraId="4519FF56" w14:textId="77777777" w:rsidR="00DF5D99" w:rsidRDefault="00DF5D99" w:rsidP="0059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9671">
    <w:abstractNumId w:val="2"/>
  </w:num>
  <w:num w:numId="2" w16cid:durableId="1803379680">
    <w:abstractNumId w:val="3"/>
  </w:num>
  <w:num w:numId="3" w16cid:durableId="2050033527">
    <w:abstractNumId w:val="1"/>
  </w:num>
  <w:num w:numId="4" w16cid:durableId="12300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ECB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26645"/>
    <w:rsid w:val="0023307C"/>
    <w:rsid w:val="00235F37"/>
    <w:rsid w:val="00242BDE"/>
    <w:rsid w:val="002B1CD0"/>
    <w:rsid w:val="003048E9"/>
    <w:rsid w:val="0031361E"/>
    <w:rsid w:val="00344930"/>
    <w:rsid w:val="00373E2D"/>
    <w:rsid w:val="00391C38"/>
    <w:rsid w:val="003B76D6"/>
    <w:rsid w:val="003D09AD"/>
    <w:rsid w:val="003E2601"/>
    <w:rsid w:val="003F4E6B"/>
    <w:rsid w:val="00434074"/>
    <w:rsid w:val="004A26A3"/>
    <w:rsid w:val="004A770F"/>
    <w:rsid w:val="004F0EDF"/>
    <w:rsid w:val="00522BF1"/>
    <w:rsid w:val="0055318D"/>
    <w:rsid w:val="005625EB"/>
    <w:rsid w:val="00590166"/>
    <w:rsid w:val="00593563"/>
    <w:rsid w:val="005B07E6"/>
    <w:rsid w:val="005B3D62"/>
    <w:rsid w:val="005D022B"/>
    <w:rsid w:val="005E5BE9"/>
    <w:rsid w:val="00665279"/>
    <w:rsid w:val="0069427D"/>
    <w:rsid w:val="006E5214"/>
    <w:rsid w:val="006F7A19"/>
    <w:rsid w:val="00705378"/>
    <w:rsid w:val="007213E1"/>
    <w:rsid w:val="00775389"/>
    <w:rsid w:val="00797838"/>
    <w:rsid w:val="007C2CB8"/>
    <w:rsid w:val="007C36D8"/>
    <w:rsid w:val="007F2744"/>
    <w:rsid w:val="008931BE"/>
    <w:rsid w:val="008C67E3"/>
    <w:rsid w:val="00914205"/>
    <w:rsid w:val="00921D45"/>
    <w:rsid w:val="009426C0"/>
    <w:rsid w:val="00964EA5"/>
    <w:rsid w:val="00980A65"/>
    <w:rsid w:val="009A0ED4"/>
    <w:rsid w:val="009A66DB"/>
    <w:rsid w:val="009B2F80"/>
    <w:rsid w:val="009B3300"/>
    <w:rsid w:val="009D20C1"/>
    <w:rsid w:val="009F3380"/>
    <w:rsid w:val="00A02163"/>
    <w:rsid w:val="00A314FE"/>
    <w:rsid w:val="00A9328B"/>
    <w:rsid w:val="00AA1D62"/>
    <w:rsid w:val="00AD7380"/>
    <w:rsid w:val="00B41106"/>
    <w:rsid w:val="00B4718E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C7790"/>
    <w:rsid w:val="00DD47C4"/>
    <w:rsid w:val="00DE0A86"/>
    <w:rsid w:val="00DF5D99"/>
    <w:rsid w:val="00E22189"/>
    <w:rsid w:val="00E34D7F"/>
    <w:rsid w:val="00E74069"/>
    <w:rsid w:val="00E81D35"/>
    <w:rsid w:val="00EB1F49"/>
    <w:rsid w:val="00ED0E1E"/>
    <w:rsid w:val="00F55054"/>
    <w:rsid w:val="00F5617B"/>
    <w:rsid w:val="00F865B3"/>
    <w:rsid w:val="00FA2140"/>
    <w:rsid w:val="00FA4C3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85566D70-D58C-4BE9-ACD8-CAFE2134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35F37"/>
  </w:style>
  <w:style w:type="paragraph" w:styleId="ac">
    <w:name w:val="Balloon Text"/>
    <w:basedOn w:val="a"/>
    <w:link w:val="ad"/>
    <w:uiPriority w:val="99"/>
    <w:semiHidden/>
    <w:unhideWhenUsed/>
    <w:rsid w:val="009D20C1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9D20C1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935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3563"/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35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356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jingdai6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EC3DA7-7A0C-4C12-9C89-C36938BD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daisijing</dc:creator>
  <cp:lastModifiedBy>SIJING DAI</cp:lastModifiedBy>
  <cp:revision>6</cp:revision>
  <cp:lastPrinted>2026-01-28T14:24:00Z</cp:lastPrinted>
  <dcterms:created xsi:type="dcterms:W3CDTF">2026-03-04T15:14:00Z</dcterms:created>
  <dcterms:modified xsi:type="dcterms:W3CDTF">2026-03-05T10:58:00Z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