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Влияние строения карбоксилатного лиганда и природы координирующихся оснований на каталитическую активность систем Pd(RCO</w:t>
      </w:r>
      <w:r>
        <w:rPr>
          <w:rFonts w:hint="default" w:ascii="Times New Roman" w:hAnsi="Times New Roman" w:cs="Times New Roman"/>
          <w:b/>
          <w:color w:val="000000"/>
          <w:vertAlign w:val="subscript"/>
        </w:rPr>
        <w:t>2</w:t>
      </w:r>
      <w:r>
        <w:rPr>
          <w:rFonts w:hint="default" w:ascii="Times New Roman" w:hAnsi="Times New Roman" w:cs="Times New Roman"/>
          <w:b/>
          <w:color w:val="000000"/>
        </w:rPr>
        <w:t>)</w:t>
      </w:r>
      <w:r>
        <w:rPr>
          <w:rFonts w:hint="default" w:ascii="Times New Roman" w:hAnsi="Times New Roman" w:cs="Times New Roman"/>
          <w:b/>
          <w:color w:val="000000"/>
          <w:vertAlign w:val="subscript"/>
        </w:rPr>
        <w:t>2</w:t>
      </w:r>
      <w:r>
        <w:rPr>
          <w:rFonts w:hint="default" w:ascii="Times New Roman" w:hAnsi="Times New Roman" w:cs="Times New Roman"/>
          <w:b/>
          <w:color w:val="000000"/>
        </w:rPr>
        <w:t>/L в реакциях аэробного окисления спиртов</w:t>
      </w:r>
    </w:p>
    <w:p w14:paraId="180C4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b/>
          <w:i/>
          <w:color w:val="000000"/>
        </w:rPr>
      </w:pPr>
      <w:r>
        <w:rPr>
          <w:rFonts w:hint="default" w:ascii="Times New Roman" w:hAnsi="Times New Roman" w:cs="Times New Roman"/>
          <w:b/>
          <w:i/>
          <w:color w:val="000000"/>
        </w:rPr>
        <w:t>Полякова В.А.,</w:t>
      </w:r>
      <w:r>
        <w:rPr>
          <w:rFonts w:hint="default" w:ascii="Times New Roman" w:hAnsi="Times New Roman" w:cs="Times New Roman"/>
          <w:b/>
          <w:i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b/>
          <w:i/>
          <w:color w:val="000000"/>
        </w:rPr>
        <w:t xml:space="preserve"> Шишилов О.Н.,</w:t>
      </w:r>
      <w:r>
        <w:rPr>
          <w:rFonts w:hint="default" w:ascii="Times New Roman" w:hAnsi="Times New Roman" w:cs="Times New Roman"/>
          <w:b/>
          <w:i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b/>
          <w:i/>
          <w:color w:val="000000"/>
        </w:rPr>
        <w:t xml:space="preserve"> Ахмадуллина Н.С.,</w:t>
      </w:r>
      <w:r>
        <w:rPr>
          <w:rFonts w:hint="default" w:ascii="Times New Roman" w:hAnsi="Times New Roman" w:cs="Times New Roman"/>
          <w:b/>
          <w:i/>
          <w:color w:val="000000"/>
          <w:vertAlign w:val="superscript"/>
        </w:rPr>
        <w:t>2</w:t>
      </w:r>
      <w:r>
        <w:rPr>
          <w:rFonts w:hint="default" w:ascii="Times New Roman" w:hAnsi="Times New Roman" w:cs="Times New Roman"/>
          <w:b/>
          <w:i/>
          <w:color w:val="000000"/>
        </w:rPr>
        <w:t xml:space="preserve"> Флид В.Р.</w:t>
      </w:r>
      <w:r>
        <w:rPr>
          <w:rFonts w:hint="default" w:ascii="Times New Roman" w:hAnsi="Times New Roman" w:cs="Times New Roman"/>
          <w:b/>
          <w:i/>
          <w:color w:val="000000"/>
          <w:vertAlign w:val="superscript"/>
        </w:rPr>
        <w:t>1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i/>
          <w:color w:val="000000"/>
          <w:lang w:val="ru-RU"/>
        </w:rPr>
        <w:t>Аспирант</w:t>
      </w:r>
      <w:r>
        <w:rPr>
          <w:rFonts w:hint="default" w:ascii="Times New Roman" w:hAnsi="Times New Roman" w:cs="Times New Roman"/>
          <w:i/>
          <w:color w:val="000000"/>
        </w:rPr>
        <w:t xml:space="preserve">, </w:t>
      </w:r>
      <w:r>
        <w:rPr>
          <w:rFonts w:hint="default" w:cs="Times New Roman"/>
          <w:i/>
          <w:color w:val="000000"/>
          <w:lang w:val="ru-RU"/>
        </w:rPr>
        <w:t>4</w:t>
      </w:r>
      <w:r>
        <w:rPr>
          <w:rFonts w:hint="default" w:ascii="Times New Roman" w:hAnsi="Times New Roman" w:cs="Times New Roman"/>
          <w:i/>
          <w:color w:val="000000"/>
          <w:lang w:val="ru-RU"/>
        </w:rPr>
        <w:t xml:space="preserve"> год обучения</w:t>
      </w:r>
      <w:r>
        <w:rPr>
          <w:rFonts w:hint="default" w:ascii="Times New Roman" w:hAnsi="Times New Roman" w:cs="Times New Roman"/>
          <w:i/>
          <w:color w:val="000000"/>
        </w:rPr>
        <w:t xml:space="preserve"> </w:t>
      </w:r>
    </w:p>
    <w:p w14:paraId="31331E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i/>
          <w:color w:val="000000"/>
        </w:rPr>
      </w:pPr>
      <w:r>
        <w:rPr>
          <w:rFonts w:hint="default" w:ascii="Times New Roman" w:hAnsi="Times New Roman" w:cs="Times New Roman"/>
          <w:i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i/>
          <w:color w:val="000000"/>
        </w:rPr>
        <w:t>МИРЭА – Российский технологический университет, Институт тонких химических технологий им. М.В. Ломоносова, Москва, Россия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i/>
          <w:color w:val="000000"/>
          <w:vertAlign w:val="superscript"/>
        </w:rPr>
        <w:t>2</w:t>
      </w:r>
      <w:r>
        <w:rPr>
          <w:rFonts w:hint="default" w:ascii="Times New Roman" w:hAnsi="Times New Roman" w:cs="Times New Roman"/>
          <w:i/>
          <w:color w:val="000000"/>
        </w:rPr>
        <w:t>Институт металлургии и материаловедения им. А.А. Байкова Российской Академии Наук, Москва, Россия</w:t>
      </w:r>
    </w:p>
    <w:p w14:paraId="00000008">
      <w:pPr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i/>
          <w:color w:val="000000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single"/>
        </w:rPr>
        <w:instrText xml:space="preserve"> HYPERLINK "mailto:valeriya_polyakova_97@mail.ru" \h </w:instrText>
      </w:r>
      <w:r>
        <w:rPr>
          <w:rFonts w:hint="default"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  <w:rtl w:val="0"/>
        </w:rPr>
        <w:t>valeriya_polyakova_97@mail.ru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  <w:rtl w:val="0"/>
        </w:rPr>
        <w:fldChar w:fldCharType="end"/>
      </w:r>
    </w:p>
    <w:p w14:paraId="0E9427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rFonts w:hint="default"/>
          <w:color w:val="000000"/>
        </w:rPr>
        <w:t>Карбоксилаты палладия – универсальные катализаторы в органическом синтезе</w:t>
      </w:r>
      <w:r>
        <w:rPr>
          <w:rFonts w:hint="default"/>
          <w:color w:val="000000"/>
          <w:lang w:val="ru-RU"/>
        </w:rPr>
        <w:t xml:space="preserve"> благодаря</w:t>
      </w:r>
      <w:r>
        <w:rPr>
          <w:rFonts w:hint="default"/>
          <w:color w:val="000000"/>
        </w:rPr>
        <w:t xml:space="preserve"> лабильност</w:t>
      </w:r>
      <w:r>
        <w:rPr>
          <w:rFonts w:hint="default"/>
          <w:color w:val="000000"/>
          <w:lang w:val="ru-RU"/>
        </w:rPr>
        <w:t>и</w:t>
      </w:r>
      <w:r>
        <w:rPr>
          <w:rFonts w:hint="default"/>
          <w:color w:val="000000"/>
        </w:rPr>
        <w:t xml:space="preserve"> координационной сферы</w:t>
      </w:r>
      <w:r>
        <w:rPr>
          <w:rFonts w:hint="default"/>
          <w:color w:val="000000"/>
          <w:lang w:val="ru-RU"/>
        </w:rPr>
        <w:t xml:space="preserve">. </w:t>
      </w:r>
      <w:r>
        <w:rPr>
          <w:rFonts w:hint="default"/>
          <w:color w:val="000000"/>
        </w:rPr>
        <w:t>Классическим примером пр</w:t>
      </w:r>
      <w:bookmarkStart w:id="1" w:name="_GoBack"/>
      <w:bookmarkEnd w:id="1"/>
      <w:r>
        <w:rPr>
          <w:rFonts w:hint="default"/>
          <w:color w:val="000000"/>
        </w:rPr>
        <w:t>именения карбоксилатов палладия является аэробное окисление спиртов</w:t>
      </w:r>
      <w:r>
        <w:rPr>
          <w:rFonts w:hint="default"/>
          <w:color w:val="000000"/>
          <w:lang w:val="ru-RU"/>
        </w:rPr>
        <w:t xml:space="preserve">. </w:t>
      </w:r>
      <w:r>
        <w:rPr>
          <w:rFonts w:hint="default"/>
          <w:color w:val="000000"/>
        </w:rPr>
        <w:t>Целью настоящего исследования является изучение влияния природы карбоксилатного лиганда (R = CH</w:t>
      </w:r>
      <w:r>
        <w:rPr>
          <w:rFonts w:hint="default"/>
          <w:color w:val="000000"/>
          <w:vertAlign w:val="subscript"/>
        </w:rPr>
        <w:t>3</w:t>
      </w:r>
      <w:r>
        <w:rPr>
          <w:rFonts w:hint="default"/>
          <w:color w:val="000000"/>
        </w:rPr>
        <w:t>, CHCl</w:t>
      </w:r>
      <w:r>
        <w:rPr>
          <w:rFonts w:hint="default"/>
          <w:color w:val="000000"/>
          <w:vertAlign w:val="subscript"/>
        </w:rPr>
        <w:t>2</w:t>
      </w:r>
      <w:r>
        <w:rPr>
          <w:rFonts w:hint="default"/>
          <w:color w:val="000000"/>
        </w:rPr>
        <w:t>, CCl</w:t>
      </w:r>
      <w:r>
        <w:rPr>
          <w:rFonts w:hint="default"/>
          <w:color w:val="000000"/>
          <w:vertAlign w:val="subscript"/>
        </w:rPr>
        <w:t>3</w:t>
      </w:r>
      <w:r>
        <w:rPr>
          <w:rFonts w:hint="default"/>
          <w:color w:val="000000"/>
        </w:rPr>
        <w:t>, CF</w:t>
      </w:r>
      <w:r>
        <w:rPr>
          <w:rFonts w:hint="default"/>
          <w:color w:val="000000"/>
          <w:vertAlign w:val="subscript"/>
        </w:rPr>
        <w:t>3</w:t>
      </w:r>
      <w:r>
        <w:rPr>
          <w:rFonts w:hint="default"/>
          <w:color w:val="000000"/>
        </w:rPr>
        <w:t>) и основания (L = пиридин, триэтиламин, морфолин, N-бутилпирролидин, 1-бутиламин, хинолин, 4-диметиламинопиридин) на каталитическую активность систем Pd(RCO</w:t>
      </w:r>
      <w:r>
        <w:rPr>
          <w:rFonts w:hint="default"/>
          <w:color w:val="000000"/>
          <w:vertAlign w:val="subscript"/>
        </w:rPr>
        <w:t>2</w:t>
      </w:r>
      <w:r>
        <w:rPr>
          <w:rFonts w:hint="default"/>
          <w:color w:val="000000"/>
        </w:rPr>
        <w:t>)</w:t>
      </w:r>
      <w:r>
        <w:rPr>
          <w:rFonts w:hint="default"/>
          <w:color w:val="000000"/>
          <w:vertAlign w:val="subscript"/>
        </w:rPr>
        <w:t>2</w:t>
      </w:r>
      <w:r>
        <w:rPr>
          <w:rFonts w:hint="default"/>
          <w:color w:val="000000"/>
        </w:rPr>
        <w:t xml:space="preserve">/L на примере реакции аэробного окисления бензилового спирта в диапазоне мольных соотношений Pd/L (от 2:1 до 1:10). Было показано, что </w:t>
      </w:r>
      <w:r>
        <w:rPr>
          <w:rFonts w:hint="default"/>
          <w:color w:val="000000"/>
          <w:lang w:val="ru-RU"/>
        </w:rPr>
        <w:t>а</w:t>
      </w:r>
      <w:r>
        <w:rPr>
          <w:rFonts w:hint="default"/>
          <w:color w:val="000000"/>
        </w:rPr>
        <w:t>ктивность каталитической системы снижается в ряду R = CH₃ &gt; CHCl₂ &gt; CF₃ &gt; CCl₃, что коррелирует с ростом электроноакцепторных свойств заместителя. Среди всех N-донорных лигандов максимальная скорость реакции достигается при использовании триэтиламин</w:t>
      </w:r>
      <w:r>
        <w:rPr>
          <w:rFonts w:hint="default"/>
          <w:color w:val="000000"/>
          <w:lang w:val="ru-RU"/>
        </w:rPr>
        <w:t>а,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  <w:lang w:val="ru-RU"/>
        </w:rPr>
        <w:t xml:space="preserve">в целом, </w:t>
      </w:r>
      <w:r>
        <w:rPr>
          <w:rFonts w:hint="default"/>
          <w:color w:val="000000"/>
        </w:rPr>
        <w:t>скорость процесса меняется в ряду: Et₃N&gt;Py&gt;DMAP&gt;хинолин&gt;N-бутилпирролидин&gt;морфолин&gt;1-бутиламин.</w:t>
      </w:r>
      <w:r>
        <w:rPr>
          <w:rFonts w:hint="default"/>
          <w:color w:val="000000"/>
          <w:lang w:val="ru-RU"/>
        </w:rPr>
        <w:t xml:space="preserve"> Д</w:t>
      </w:r>
      <w:r>
        <w:rPr>
          <w:rFonts w:hint="default"/>
          <w:color w:val="000000"/>
        </w:rPr>
        <w:t xml:space="preserve">ля систем Pd(RCO₂)₂/Et₃N максимальная скорость окисления спирта (kp) и </w:t>
      </w:r>
      <w:r>
        <w:rPr>
          <w:rFonts w:hint="default"/>
          <w:color w:val="000000"/>
          <w:lang w:val="ru-RU"/>
        </w:rPr>
        <w:t>разложение</w:t>
      </w:r>
      <w:r>
        <w:rPr>
          <w:rFonts w:hint="default"/>
          <w:color w:val="000000"/>
        </w:rPr>
        <w:t xml:space="preserve"> каталитической системы (kразл) достигались при соотношении Pd/Et₃N = 1:3</w:t>
      </w:r>
      <w:r>
        <w:rPr>
          <w:rFonts w:hint="default"/>
          <w:color w:val="000000"/>
          <w:lang w:val="ru-RU"/>
        </w:rPr>
        <w:t xml:space="preserve"> (рис. 1)</w:t>
      </w:r>
      <w:r>
        <w:rPr>
          <w:rFonts w:hint="default"/>
          <w:color w:val="000000"/>
        </w:rPr>
        <w:t>.</w:t>
      </w:r>
      <w:r>
        <w:rPr>
          <w:rFonts w:hint="default"/>
          <w:color w:val="000000"/>
          <w:lang w:val="ru-RU"/>
        </w:rPr>
        <w:t xml:space="preserve"> </w:t>
      </w:r>
      <w:r>
        <w:rPr>
          <w:rFonts w:hint="default"/>
          <w:color w:val="000000"/>
        </w:rPr>
        <w:t>Выявленный эффект объясняется оптимальным сочетанием свойств триэтиламина: высокой основностью (pKa~10,7), способствующей эффективному депротонированию спирта и умеренным стерическим объемом, предотвращающим образование инертных перенасыщенных комплексов, что в свою очередь благоприятно влияет на лабильность координационной связи Pd – N для субстратного обмена.</w:t>
      </w:r>
    </w:p>
    <w:tbl>
      <w:tblPr>
        <w:tblStyle w:val="20"/>
        <w:tblW w:w="929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8"/>
        <w:gridCol w:w="4016"/>
      </w:tblGrid>
      <w:tr w14:paraId="5CC9BA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22"/>
              <w:tblpPr w:leftFromText="180" w:rightFromText="180" w:vertAnchor="text" w:horzAnchor="page" w:tblpX="100" w:tblpY="192"/>
              <w:tblOverlap w:val="never"/>
              <w:tblW w:w="5102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6"/>
              <w:gridCol w:w="716"/>
              <w:gridCol w:w="782"/>
              <w:gridCol w:w="630"/>
              <w:gridCol w:w="826"/>
              <w:gridCol w:w="716"/>
              <w:gridCol w:w="716"/>
            </w:tblGrid>
            <w:tr w14:paraId="407BE7A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F6CA2D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R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DC61A0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Pd, мол. %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7791EE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Pd/Et₃N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09C105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τ, ч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07AB14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Выход, %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339A6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kp (TOF), ч-1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E4CB15">
                  <w:pPr>
                    <w:keepNext w:val="0"/>
                    <w:keepLines w:val="0"/>
                    <w:widowControl/>
                    <w:jc w:val="center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kразл, ч</w:t>
                  </w:r>
                </w:p>
              </w:tc>
            </w:tr>
            <w:tr w14:paraId="44E6558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D3CD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537D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8325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1:1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5FAA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A1BB3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88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B22A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65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2C9C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  <w:tr w14:paraId="1C37032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5767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3D10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B2B7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1:2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F6C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9213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4113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126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E7B7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</w:t>
                  </w:r>
                </w:p>
              </w:tc>
            </w:tr>
            <w:tr w14:paraId="0942DA9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793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657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F7B8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1:3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F734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7544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20C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134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CD79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</w:t>
                  </w:r>
                </w:p>
              </w:tc>
            </w:tr>
            <w:tr w14:paraId="0DFFB75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480D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9D75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B98B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2740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FF1C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659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128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7A23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</w:t>
                  </w:r>
                </w:p>
              </w:tc>
            </w:tr>
            <w:tr w14:paraId="781A193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99EE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BF04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2,5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F0F5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A69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CFED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92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1DF3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CAB4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3</w:t>
                  </w:r>
                </w:p>
              </w:tc>
            </w:tr>
            <w:tr w14:paraId="21BE8FB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5A3C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177A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D9F7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1:2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95BFB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968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40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B31A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98DA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</w:tr>
            <w:tr w14:paraId="6F70B95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FBB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2ACD7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255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1:3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539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0181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52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FE58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78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9008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</w:t>
                  </w:r>
                </w:p>
              </w:tc>
            </w:tr>
            <w:tr w14:paraId="628A6DF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5CCF9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12D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FD9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4D47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BFE0D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61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FB68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2245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</w:t>
                  </w:r>
                </w:p>
              </w:tc>
            </w:tr>
            <w:tr w14:paraId="42DE613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1B5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Me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8F3E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FB08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1:5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702D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CCAD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0AC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92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2D18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</w:t>
                  </w:r>
                </w:p>
              </w:tc>
            </w:tr>
            <w:tr w14:paraId="74118D6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6C9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CHCl₂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C328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166C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1:1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4955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D21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F4F9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34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BEDF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  <w:tr w14:paraId="218C1EE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49BA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CHCl₂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58A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819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1:2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BF6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1D33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84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EDA4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61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AA10A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  <w:tr w14:paraId="6AE9685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A0A6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CHCl₂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DDE3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BF03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1:3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940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78CDE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078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70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D90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  <w:tr w14:paraId="75D0DD1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F21F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CHCl₂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3CAB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1AED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2770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F8DA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6DC5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67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96A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  <w:tr w14:paraId="586173C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F4E8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CHCl₂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D31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40A1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1:5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3CD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5F4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94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9DDF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53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FE03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3</w:t>
                  </w:r>
                </w:p>
              </w:tc>
            </w:tr>
            <w:tr w14:paraId="23CE62D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5AD7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CCl₃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E831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048C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564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743A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13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130B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7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B75E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3</w:t>
                  </w:r>
                </w:p>
              </w:tc>
            </w:tr>
            <w:tr w14:paraId="647D543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7DE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CF₃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0064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3758D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1:3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D926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916A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81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2782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25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5E6F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</w:t>
                  </w:r>
                </w:p>
              </w:tc>
            </w:tr>
            <w:tr w14:paraId="4A93995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E0D4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CF₃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866F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6735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1:4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B2E3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99F3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43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C91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28</w:t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DA43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rtl w:val="0"/>
                    </w:rPr>
                    <w:t>4</w:t>
                  </w:r>
                </w:p>
              </w:tc>
            </w:tr>
          </w:tbl>
          <w:p w14:paraId="0000008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A">
            <w:pP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00008B">
            <w:pPr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2461260" cy="833120"/>
                  <wp:effectExtent l="0" t="0" r="15240" b="508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92A159">
            <w:pP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rtl w:val="0"/>
              </w:rPr>
            </w:pPr>
          </w:p>
          <w:p w14:paraId="000000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rtl w:val="0"/>
              </w:rPr>
              <w:t>Кинетическая модель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</w:rPr>
              <w:t>:</w:t>
            </w:r>
          </w:p>
          <w:tbl>
            <w:tblPr>
              <w:tblStyle w:val="23"/>
              <w:tblpPr w:leftFromText="180" w:rightFromText="180" w:vertAnchor="text" w:horzAnchor="page" w:tblpX="90" w:tblpY="50"/>
              <w:tblOverlap w:val="never"/>
              <w:tblW w:w="4038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3"/>
              <w:gridCol w:w="2705"/>
            </w:tblGrid>
            <w:tr w14:paraId="69756E2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DDD9D5">
                  <w:pPr>
                    <w:jc w:val="both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rtl w:val="0"/>
                    </w:rPr>
                    <w:t>Окисление спирта: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C19D3">
                  <w:pPr>
                    <w:jc w:val="both"/>
                    <w:rPr>
                      <w:rFonts w:hint="default" w:ascii="Times New Roman" w:hAnsi="Times New Roman" w:eastAsia="Cambria Math" w:cs="Times New Roman"/>
                      <w:i/>
                      <w:iCs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d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alco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hint="default" w:ascii="Cambria Math" w:hAnsi="Cambria Math" w:eastAsia="Cambria Math" w:cs="Times New Roman"/>
                                  <w:b w:val="0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m:t>h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ol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e>
                          </m:d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dt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den>
                      </m:f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k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mbria Math" w:cs="Times New Roman"/>
                              <w:b w:val="0"/>
                              <w:i w:val="0"/>
                              <w:iCs w:val="0"/>
                              <w:sz w:val="18"/>
                              <w:szCs w:val="18"/>
                            </w:rPr>
                            <m:t>набл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k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mbria Math" w:cs="Times New Roman"/>
                              <w:b w:val="0"/>
                              <w:i w:val="0"/>
                              <w:iCs w:val="0"/>
                              <w:sz w:val="18"/>
                              <w:szCs w:val="18"/>
                            </w:rPr>
                            <m:t>р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ub>
                      </m:sSub>
                      <m:d>
                        <m:dPr>
                          <m:begChr m:val="["/>
                          <m:endChr m:val="]"/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cat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e>
                      </m:d>
                    </m:oMath>
                  </m:oMathPara>
                </w:p>
              </w:tc>
            </w:tr>
            <w:tr w14:paraId="68B89CE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AF7B65">
                  <w:pPr>
                    <w:jc w:val="both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rtl w:val="0"/>
                    </w:rPr>
                    <w:t>Разложение катализатора: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1A6437">
                  <w:pPr>
                    <w:jc w:val="both"/>
                    <w:rPr>
                      <w:rFonts w:hint="default" w:ascii="Times New Roman" w:hAnsi="Times New Roman" w:eastAsia="Cambria Math" w:cs="Times New Roman"/>
                      <w:i/>
                      <w:iCs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d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cat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e>
                          </m:d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dt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den>
                      </m:f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k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mbria Math" w:cs="Times New Roman"/>
                              <w:b w:val="0"/>
                              <w:i w:val="0"/>
                              <w:iCs w:val="0"/>
                              <w:sz w:val="18"/>
                              <w:szCs w:val="18"/>
                            </w:rPr>
                            <m:t>разл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ub>
                      </m:sSub>
                      <m:d>
                        <m:dPr>
                          <m:begChr m:val="["/>
                          <m:endChr m:val="]"/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cat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e>
                      </m:d>
                    </m:oMath>
                  </m:oMathPara>
                </w:p>
              </w:tc>
            </w:tr>
            <w:tr w14:paraId="0B565C6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</w:trPr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F331A7">
                  <w:pPr>
                    <w:jc w:val="both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rtl w:val="0"/>
                    </w:rPr>
                    <w:t>Интегральное уравнение: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A15275">
                  <w:pPr>
                    <w:jc w:val="both"/>
                    <w:rPr>
                      <w:rFonts w:hint="default" w:ascii="Times New Roman" w:hAnsi="Times New Roman" w:eastAsia="Cambria Math" w:cs="Times New Roman"/>
                      <w:i/>
                      <w:iCs/>
                      <w:sz w:val="18"/>
                      <w:szCs w:val="18"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  <m:t>ketone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e>
                      </m:d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mbria Math" w:cs="Times New Roman"/>
                          <w:b w:val="0"/>
                          <w:i w:val="0"/>
                          <w:iCs w:val="0"/>
                          <w:sz w:val="18"/>
                          <w:szCs w:val="18"/>
                        </w:rPr>
                        <m:t>=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k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hint="default" w:ascii="Cambria Math" w:hAnsi="Cambria Math" w:eastAsia="Cambria Math" w:cs="Times New Roman"/>
                                  <w:b w:val="0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m:t>р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k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hint="default" w:ascii="Cambria Math" w:hAnsi="Cambria Math" w:eastAsia="Cambria Math" w:cs="Times New Roman"/>
                                  <w:b w:val="0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m:t>разл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den>
                      </m:f>
                      <m:sSub>
                        <m:sSub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cat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e>
                          </m:d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mbria Math" w:cs="Times New Roman"/>
                              <w:b w:val="0"/>
                              <w:i w:val="0"/>
                              <w:iCs w:val="0"/>
                              <w:sz w:val="18"/>
                              <w:szCs w:val="18"/>
                            </w:rPr>
                            <m:t>0</m:t>
                          </m: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sub>
                      </m:sSub>
                      <m:d>
                        <m:dPr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mbria Math" w:cs="Times New Roman"/>
                              <w:b w:val="0"/>
                              <w:i w:val="0"/>
                              <w:iCs w:val="0"/>
                              <w:sz w:val="18"/>
                              <w:szCs w:val="18"/>
                            </w:rPr>
                            <m:t>1−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e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e>
                            <m:sup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hint="default" w:ascii="Cambria Math" w:hAnsi="Cambria Math" w:eastAsia="Cambria Math" w:cs="Times New Roman"/>
                                  <w:b w:val="0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m:t>−</m:t>
                              </m:r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 w:eastAsia="Cambria Math" w:cs="Times New Roman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hint="default" w:ascii="Cambria Math" w:hAnsi="Cambria Math" w:eastAsia="Cambria Math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m:t>k</m:t>
                                  </m:r>
                                  <m:ctrlPr>
                                    <w:rPr>
                                      <w:rFonts w:hint="default" w:ascii="Cambria Math" w:hAnsi="Cambria Math" w:eastAsia="Cambria Math" w:cs="Times New Roman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eastAsia="Cambria Math" w:cs="Times New Roman"/>
                                      <w:b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m:t>разл</m:t>
                                  </m:r>
                                  <m:ctrlPr>
                                    <w:rPr>
                                      <w:rFonts w:hint="default" w:ascii="Cambria Math" w:hAnsi="Cambria Math" w:eastAsia="Cambria Math" w:cs="Times New Roman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m:t>t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eastAsia="Cambria Math" w:cs="Times New Roman"/>
                              <w:i w:val="0"/>
                              <w:iCs w:val="0"/>
                              <w:sz w:val="18"/>
                              <w:szCs w:val="18"/>
                            </w:rPr>
                          </m:ctrlPr>
                        </m:e>
                      </m:d>
                    </m:oMath>
                  </m:oMathPara>
                </w:p>
              </w:tc>
            </w:tr>
          </w:tbl>
          <w:p w14:paraId="5AB4C8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3CE07B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Рис. 1. Результаты окисления бензилового спирта в присутствии Pd(RCO</w:t>
      </w:r>
      <w:r>
        <w:rPr>
          <w:rFonts w:hint="default"/>
          <w:color w:val="000000"/>
          <w:vertAlign w:val="subscript"/>
        </w:rPr>
        <w:t>2</w:t>
      </w:r>
      <w:r>
        <w:rPr>
          <w:rFonts w:hint="default"/>
          <w:color w:val="000000"/>
        </w:rPr>
        <w:t>)</w:t>
      </w:r>
      <w:r>
        <w:rPr>
          <w:rFonts w:hint="default"/>
          <w:color w:val="000000"/>
          <w:vertAlign w:val="subscript"/>
        </w:rPr>
        <w:t>2</w:t>
      </w:r>
      <w:r>
        <w:rPr>
          <w:rFonts w:hint="default"/>
          <w:color w:val="000000"/>
        </w:rPr>
        <w:t>/ триэтиламин (Et₃N) и кинетическая модель процесса</w:t>
      </w:r>
    </w:p>
    <w:p w14:paraId="2F92ED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i/>
          <w:iCs/>
          <w:color w:val="000000"/>
        </w:rPr>
      </w:pPr>
    </w:p>
    <w:p w14:paraId="3486C7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rFonts w:hint="default"/>
          <w:i/>
          <w:iCs/>
          <w:color w:val="000000"/>
        </w:rPr>
        <w:t>Работа выполнена при финансовой поддержке РНФ (проект № 23-73-00123).</w:t>
      </w:r>
      <w:bookmarkEnd w:id="0"/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40A30A99"/>
    <w:rsid w:val="4A582108"/>
    <w:rsid w:val="6D4D1D82"/>
    <w:rsid w:val="7D0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table" w:customStyle="1" w:styleId="20">
    <w:name w:val="_Style 29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30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31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21</TotalTime>
  <ScaleCrop>false</ScaleCrop>
  <LinksUpToDate>false</LinksUpToDate>
  <CharactersWithSpaces>3703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user</dc:creator>
  <cp:lastModifiedBy>Валерия Полякова</cp:lastModifiedBy>
  <cp:lastPrinted>2026-01-28T14:24:00Z</cp:lastPrinted>
  <dcterms:modified xsi:type="dcterms:W3CDTF">2026-03-02T20:52:26Z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F8FE814E3A734EEB838DC8F60590352C_13</vt:lpwstr>
  </property>
</Properties>
</file>