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75" w:rsidRPr="0061027E" w:rsidRDefault="0061027E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алюмованадиевых</w:t>
      </w:r>
      <w:proofErr w:type="spellEnd"/>
      <w:r>
        <w:rPr>
          <w:b/>
          <w:color w:val="000000"/>
        </w:rPr>
        <w:t xml:space="preserve"> катализаторов дегидрирования легких </w:t>
      </w:r>
      <w:proofErr w:type="spellStart"/>
      <w:r>
        <w:rPr>
          <w:b/>
          <w:color w:val="000000"/>
        </w:rPr>
        <w:t>алканов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газофазными</w:t>
      </w:r>
      <w:proofErr w:type="spellEnd"/>
      <w:r>
        <w:rPr>
          <w:b/>
          <w:color w:val="000000"/>
        </w:rPr>
        <w:t xml:space="preserve"> и жидкофазными методами: сравнительное исследование формирования активных центров</w:t>
      </w:r>
    </w:p>
    <w:p w:rsidR="00F97F75" w:rsidRPr="00282545" w:rsidRDefault="00F97F75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82545">
        <w:rPr>
          <w:b/>
          <w:i/>
          <w:color w:val="000000"/>
        </w:rPr>
        <w:t xml:space="preserve">Кульков М.М., </w:t>
      </w:r>
      <w:r w:rsidR="0061027E">
        <w:rPr>
          <w:b/>
          <w:i/>
          <w:color w:val="000000"/>
        </w:rPr>
        <w:t>Головин Г.Д</w:t>
      </w:r>
      <w:r w:rsidRPr="00282545">
        <w:rPr>
          <w:b/>
          <w:i/>
          <w:color w:val="000000"/>
        </w:rPr>
        <w:t>.</w:t>
      </w:r>
    </w:p>
    <w:p w:rsidR="00F97F75" w:rsidRPr="00282545" w:rsidRDefault="00B21D0F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="0061027E">
        <w:rPr>
          <w:i/>
          <w:color w:val="000000"/>
        </w:rPr>
        <w:t xml:space="preserve"> 3</w:t>
      </w:r>
      <w:r w:rsidR="00F97F75" w:rsidRPr="00282545">
        <w:rPr>
          <w:i/>
          <w:color w:val="000000"/>
        </w:rPr>
        <w:t xml:space="preserve"> курс </w:t>
      </w:r>
      <w:proofErr w:type="spellStart"/>
      <w:r w:rsidR="00F97F75" w:rsidRPr="00282545">
        <w:rPr>
          <w:i/>
          <w:color w:val="000000"/>
        </w:rPr>
        <w:t>бакалавриата</w:t>
      </w:r>
      <w:proofErr w:type="spellEnd"/>
    </w:p>
    <w:p w:rsidR="00F97F75" w:rsidRPr="00282545" w:rsidRDefault="00F97F75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82545">
        <w:rPr>
          <w:i/>
          <w:color w:val="000000"/>
        </w:rPr>
        <w:t>Санкт-Петербургский государственный технологический институт (технический университет), Санкт-Петербург, Россия</w:t>
      </w:r>
    </w:p>
    <w:p w:rsidR="00F97F75" w:rsidRPr="00F97F75" w:rsidRDefault="00F97F75" w:rsidP="00F97F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10034">
        <w:rPr>
          <w:i/>
          <w:color w:val="000000"/>
          <w:lang w:val="en-US"/>
        </w:rPr>
        <w:t>E</w:t>
      </w:r>
      <w:r w:rsidRPr="00F97F75">
        <w:rPr>
          <w:i/>
          <w:color w:val="000000"/>
        </w:rPr>
        <w:t>-</w:t>
      </w:r>
      <w:r w:rsidRPr="00B10034">
        <w:rPr>
          <w:i/>
          <w:color w:val="000000"/>
          <w:lang w:val="en-US"/>
        </w:rPr>
        <w:t>mail</w:t>
      </w:r>
      <w:r w:rsidRPr="00F97F75">
        <w:rPr>
          <w:i/>
          <w:color w:val="000000"/>
        </w:rPr>
        <w:t xml:space="preserve">: </w:t>
      </w:r>
      <w:proofErr w:type="spellStart"/>
      <w:r w:rsidRPr="00282545">
        <w:rPr>
          <w:i/>
          <w:color w:val="000000"/>
          <w:lang w:val="en-US"/>
        </w:rPr>
        <w:t>janflemming</w:t>
      </w:r>
      <w:proofErr w:type="spellEnd"/>
      <w:r w:rsidRPr="00F97F75">
        <w:rPr>
          <w:i/>
          <w:color w:val="000000"/>
        </w:rPr>
        <w:t>@</w:t>
      </w:r>
      <w:proofErr w:type="spellStart"/>
      <w:r w:rsidRPr="00282545">
        <w:rPr>
          <w:i/>
          <w:color w:val="000000"/>
          <w:lang w:val="en-US"/>
        </w:rPr>
        <w:t>yandex</w:t>
      </w:r>
      <w:proofErr w:type="spellEnd"/>
      <w:r w:rsidRPr="00F97F75">
        <w:rPr>
          <w:i/>
          <w:color w:val="000000"/>
        </w:rPr>
        <w:t>.</w:t>
      </w:r>
      <w:proofErr w:type="spellStart"/>
      <w:r w:rsidRPr="00282545">
        <w:rPr>
          <w:i/>
          <w:color w:val="000000"/>
          <w:lang w:val="en-US"/>
        </w:rPr>
        <w:t>ru</w:t>
      </w:r>
      <w:proofErr w:type="spellEnd"/>
    </w:p>
    <w:p w:rsidR="0020030E" w:rsidRPr="0020030E" w:rsidRDefault="0020030E" w:rsidP="0020030E">
      <w:pPr>
        <w:ind w:firstLine="397"/>
        <w:jc w:val="both"/>
      </w:pPr>
      <w:r w:rsidRPr="0020030E">
        <w:t xml:space="preserve">Процессы каталитического дегидрирования легких </w:t>
      </w:r>
      <w:proofErr w:type="spellStart"/>
      <w:r w:rsidRPr="0020030E">
        <w:t>алканов</w:t>
      </w:r>
      <w:proofErr w:type="spellEnd"/>
      <w:r w:rsidRPr="0020030E">
        <w:t xml:space="preserve"> играют ключевую роль в современной нефтехимии, обеспечивая растущий спрос на низшие олефины. </w:t>
      </w:r>
    </w:p>
    <w:p w:rsidR="0020030E" w:rsidRPr="0020030E" w:rsidRDefault="0020030E" w:rsidP="00220D2B">
      <w:pPr>
        <w:ind w:firstLine="397"/>
        <w:jc w:val="both"/>
      </w:pPr>
      <w:r w:rsidRPr="0020030E">
        <w:t xml:space="preserve">Ключевая проблема традиционных </w:t>
      </w:r>
      <w:proofErr w:type="spellStart"/>
      <w:r w:rsidRPr="0020030E">
        <w:t>алюмованадиевых</w:t>
      </w:r>
      <w:proofErr w:type="spellEnd"/>
      <w:r w:rsidRPr="0020030E">
        <w:t xml:space="preserve"> катализаторов, получаемых методом влажной пропитки, заключается в неравномерном распределении активного компонента и агломерации предшественника с последующим формированием кристаллитов V</w:t>
      </w:r>
      <w:r w:rsidRPr="00AD7772">
        <w:rPr>
          <w:vertAlign w:val="subscript"/>
        </w:rPr>
        <w:t>2</w:t>
      </w:r>
      <w:r w:rsidRPr="0020030E">
        <w:t>O</w:t>
      </w:r>
      <w:r w:rsidRPr="00AD7772">
        <w:rPr>
          <w:vertAlign w:val="subscript"/>
        </w:rPr>
        <w:t>5</w:t>
      </w:r>
      <w:r w:rsidRPr="0020030E">
        <w:t xml:space="preserve">. Такие структуры способствуют протеканию побочных реакций крекинга и образования коксовых отложений [1]. </w:t>
      </w:r>
    </w:p>
    <w:p w:rsidR="0020030E" w:rsidRPr="0020030E" w:rsidRDefault="0020030E" w:rsidP="0020030E">
      <w:pPr>
        <w:ind w:firstLine="397"/>
        <w:jc w:val="both"/>
      </w:pPr>
      <w:r w:rsidRPr="0020030E">
        <w:t>В настоящей работе исследуется решение этой проблемы путем синтеза катализаторо</w:t>
      </w:r>
      <w:r w:rsidR="00355DCB">
        <w:t xml:space="preserve">в дегидрирования </w:t>
      </w:r>
      <w:r w:rsidRPr="0020030E">
        <w:t xml:space="preserve">методами химической </w:t>
      </w:r>
      <w:proofErr w:type="spellStart"/>
      <w:r w:rsidRPr="0020030E">
        <w:t>газофа</w:t>
      </w:r>
      <w:r w:rsidR="007A63D2">
        <w:t>з</w:t>
      </w:r>
      <w:r w:rsidR="00A639F9">
        <w:t>ной</w:t>
      </w:r>
      <w:proofErr w:type="spellEnd"/>
      <w:r w:rsidR="00A639F9">
        <w:t xml:space="preserve"> пропитки</w:t>
      </w:r>
      <w:r w:rsidRPr="0020030E">
        <w:t xml:space="preserve"> (</w:t>
      </w:r>
      <w:proofErr w:type="spellStart"/>
      <w:r w:rsidRPr="0020030E">
        <w:t>Chemical</w:t>
      </w:r>
      <w:proofErr w:type="spellEnd"/>
      <w:r w:rsidRPr="0020030E">
        <w:t xml:space="preserve"> </w:t>
      </w:r>
      <w:proofErr w:type="spellStart"/>
      <w:r w:rsidRPr="0020030E">
        <w:t>Vapor</w:t>
      </w:r>
      <w:proofErr w:type="spellEnd"/>
      <w:r w:rsidRPr="0020030E">
        <w:t xml:space="preserve"> Impregnation, CVI) и молекулярного наслаивания (</w:t>
      </w:r>
      <w:proofErr w:type="spellStart"/>
      <w:r w:rsidRPr="0020030E">
        <w:t>Atomic</w:t>
      </w:r>
      <w:proofErr w:type="spellEnd"/>
      <w:r w:rsidRPr="0020030E">
        <w:t xml:space="preserve"> </w:t>
      </w:r>
      <w:proofErr w:type="spellStart"/>
      <w:r w:rsidRPr="0020030E">
        <w:t>Layer</w:t>
      </w:r>
      <w:proofErr w:type="spellEnd"/>
      <w:r w:rsidRPr="0020030E">
        <w:t xml:space="preserve"> </w:t>
      </w:r>
      <w:proofErr w:type="spellStart"/>
      <w:r w:rsidRPr="0020030E">
        <w:t>Deposition</w:t>
      </w:r>
      <w:proofErr w:type="spellEnd"/>
      <w:r w:rsidRPr="0020030E">
        <w:t>, ALD</w:t>
      </w:r>
      <w:r w:rsidR="00A639F9">
        <w:t xml:space="preserve">), что позволяет повысить селективность по целевому олефину и стабильность работы катализатора за счет перехода к изолированным </w:t>
      </w:r>
      <w:proofErr w:type="spellStart"/>
      <w:r w:rsidR="00A639F9">
        <w:t>моноядерным</w:t>
      </w:r>
      <w:proofErr w:type="spellEnd"/>
      <w:r w:rsidR="00A639F9">
        <w:t xml:space="preserve"> центрам </w:t>
      </w:r>
      <w:proofErr w:type="spellStart"/>
      <w:r w:rsidR="00A639F9" w:rsidRPr="0020030E">
        <w:t>VO</w:t>
      </w:r>
      <w:r w:rsidR="00A639F9" w:rsidRPr="00220D2B">
        <w:rPr>
          <w:vertAlign w:val="subscript"/>
        </w:rPr>
        <w:t>x</w:t>
      </w:r>
      <w:proofErr w:type="spellEnd"/>
      <w:r w:rsidR="00A639F9">
        <w:t xml:space="preserve">. </w:t>
      </w:r>
      <w:r w:rsidRPr="0020030E">
        <w:t xml:space="preserve">В качестве </w:t>
      </w:r>
      <w:r w:rsidR="00355DCB">
        <w:t>носителя для синтеза катализатора был выбран</w:t>
      </w:r>
      <w:r w:rsidRPr="0020030E">
        <w:t xml:space="preserve"> </w:t>
      </w:r>
      <w:proofErr w:type="spellStart"/>
      <w:r w:rsidRPr="0020030E">
        <w:t>мезопористый</w:t>
      </w:r>
      <w:proofErr w:type="spellEnd"/>
      <w:r w:rsidRPr="0020030E">
        <w:t xml:space="preserve"> γ-Al</w:t>
      </w:r>
      <w:r w:rsidRPr="00220D2B">
        <w:rPr>
          <w:vertAlign w:val="subscript"/>
        </w:rPr>
        <w:t>2</w:t>
      </w:r>
      <w:r w:rsidRPr="0020030E">
        <w:t>O</w:t>
      </w:r>
      <w:r w:rsidRPr="00220D2B">
        <w:rPr>
          <w:vertAlign w:val="subscript"/>
        </w:rPr>
        <w:t>3</w:t>
      </w:r>
      <w:r w:rsidRPr="0020030E">
        <w:t>. Возможность формирования ванадием различных пол</w:t>
      </w:r>
      <w:proofErr w:type="gramStart"/>
      <w:r w:rsidRPr="0020030E">
        <w:t>и-</w:t>
      </w:r>
      <w:proofErr w:type="gramEnd"/>
      <w:r w:rsidRPr="0020030E">
        <w:t xml:space="preserve"> и </w:t>
      </w:r>
      <w:proofErr w:type="spellStart"/>
      <w:r w:rsidRPr="0020030E">
        <w:t>моноядерных</w:t>
      </w:r>
      <w:proofErr w:type="spellEnd"/>
      <w:r w:rsidRPr="0020030E">
        <w:t xml:space="preserve"> структур на поверхности носителя обуславливает его выбор </w:t>
      </w:r>
      <w:r w:rsidR="00AD7772">
        <w:t xml:space="preserve">в </w:t>
      </w:r>
      <w:r w:rsidRPr="0020030E">
        <w:t xml:space="preserve">качестве модельного объекта для изучения влияния метода нанесения активного компонента. </w:t>
      </w:r>
    </w:p>
    <w:p w:rsidR="0020030E" w:rsidRPr="0020030E" w:rsidRDefault="0020030E" w:rsidP="0020030E">
      <w:pPr>
        <w:ind w:firstLine="397"/>
        <w:jc w:val="both"/>
      </w:pPr>
      <w:r w:rsidRPr="0020030E">
        <w:t xml:space="preserve">Химическая </w:t>
      </w:r>
      <w:proofErr w:type="spellStart"/>
      <w:r w:rsidRPr="0020030E">
        <w:t>газофа</w:t>
      </w:r>
      <w:r w:rsidR="007A63D2">
        <w:t>з</w:t>
      </w:r>
      <w:r w:rsidR="00355DCB">
        <w:t>ная</w:t>
      </w:r>
      <w:proofErr w:type="spellEnd"/>
      <w:r w:rsidR="00355DCB">
        <w:t xml:space="preserve"> пропитка</w:t>
      </w:r>
      <w:r w:rsidRPr="0020030E">
        <w:t xml:space="preserve"> выбранного носителя производилась возгонкой </w:t>
      </w:r>
      <w:proofErr w:type="spellStart"/>
      <w:r w:rsidRPr="0020030E">
        <w:t>ацетилацетоната</w:t>
      </w:r>
      <w:proofErr w:type="spellEnd"/>
      <w:r w:rsidRPr="0020030E">
        <w:t xml:space="preserve"> </w:t>
      </w:r>
      <w:proofErr w:type="spellStart"/>
      <w:r w:rsidRPr="0020030E">
        <w:t>ванадила</w:t>
      </w:r>
      <w:proofErr w:type="spellEnd"/>
      <w:r w:rsidRPr="0020030E">
        <w:t xml:space="preserve"> (VO(</w:t>
      </w:r>
      <w:proofErr w:type="spellStart"/>
      <w:r w:rsidRPr="0020030E">
        <w:t>acac</w:t>
      </w:r>
      <w:proofErr w:type="spellEnd"/>
      <w:r w:rsidRPr="0020030E">
        <w:t>)</w:t>
      </w:r>
      <w:r w:rsidRPr="00220D2B">
        <w:rPr>
          <w:vertAlign w:val="subscript"/>
        </w:rPr>
        <w:t>2</w:t>
      </w:r>
      <w:r w:rsidRPr="0020030E">
        <w:t>) в условиях вакуума при температуре 140 ℃</w:t>
      </w:r>
      <w:r w:rsidR="00220D2B">
        <w:t xml:space="preserve">, что обеспечивало его глубокую диффузию в поры носителя. </w:t>
      </w:r>
      <w:r w:rsidRPr="0020030E">
        <w:t xml:space="preserve">Отличительной особенностью данного метода </w:t>
      </w:r>
      <w:r w:rsidR="00A639F9">
        <w:t xml:space="preserve">среди </w:t>
      </w:r>
      <w:proofErr w:type="spellStart"/>
      <w:r w:rsidR="00A639F9">
        <w:t>газофазных</w:t>
      </w:r>
      <w:proofErr w:type="spellEnd"/>
      <w:r w:rsidR="00A639F9">
        <w:t xml:space="preserve"> </w:t>
      </w:r>
      <w:r w:rsidRPr="0020030E">
        <w:t>является использование одного реакционного сосуда с одновременной загрузкой носителя и предшественника активной фазы.</w:t>
      </w:r>
      <w:r w:rsidR="002B0265">
        <w:t xml:space="preserve"> </w:t>
      </w:r>
      <w:r w:rsidR="00355DCB">
        <w:t>Р</w:t>
      </w:r>
      <w:r w:rsidRPr="0020030E">
        <w:t>азложение закрепленного комплекса</w:t>
      </w:r>
      <w:r w:rsidR="00355DCB">
        <w:t xml:space="preserve"> при термообработке</w:t>
      </w:r>
      <w:r w:rsidRPr="0020030E">
        <w:t xml:space="preserve"> в токе воздуха приводит к формированию высокодисперсных ванадиевых частиц. </w:t>
      </w:r>
    </w:p>
    <w:p w:rsidR="00355DCB" w:rsidRDefault="0020030E" w:rsidP="0020030E">
      <w:pPr>
        <w:ind w:firstLine="397"/>
        <w:jc w:val="both"/>
      </w:pPr>
      <w:r w:rsidRPr="0020030E">
        <w:t>Синтез катализаторов методом молекулярного наслаивания был реализован посредством поочередной подачи паров VOCl</w:t>
      </w:r>
      <w:r w:rsidRPr="00220D2B">
        <w:rPr>
          <w:vertAlign w:val="subscript"/>
        </w:rPr>
        <w:t>3</w:t>
      </w:r>
      <w:r w:rsidRPr="0020030E">
        <w:t xml:space="preserve"> и паров воды. </w:t>
      </w:r>
      <w:proofErr w:type="spellStart"/>
      <w:r w:rsidRPr="0020030E">
        <w:t>Самоограничивающийся</w:t>
      </w:r>
      <w:proofErr w:type="spellEnd"/>
      <w:r w:rsidRPr="0020030E">
        <w:t xml:space="preserve"> характер реакций хемосорбции </w:t>
      </w:r>
      <w:proofErr w:type="spellStart"/>
      <w:r w:rsidRPr="0020030E">
        <w:t>хлорокиси</w:t>
      </w:r>
      <w:proofErr w:type="spellEnd"/>
      <w:r w:rsidRPr="0020030E">
        <w:t xml:space="preserve"> ванадия с поверхностными гидроксильными группами оксида алюминия обеспечивает точный контроль состава. Полученные данные показывают, что за один цикл нанесения достигается привес 1,0–1,5 % масс</w:t>
      </w:r>
      <w:proofErr w:type="gramStart"/>
      <w:r w:rsidRPr="0020030E">
        <w:t>.</w:t>
      </w:r>
      <w:proofErr w:type="gramEnd"/>
      <w:r w:rsidRPr="0020030E">
        <w:t xml:space="preserve"> </w:t>
      </w:r>
      <w:proofErr w:type="gramStart"/>
      <w:r w:rsidRPr="0020030E">
        <w:t>в</w:t>
      </w:r>
      <w:proofErr w:type="gramEnd"/>
      <w:r w:rsidRPr="0020030E">
        <w:t>анадия. Данная концентрация соответствует поверхностной плотности</w:t>
      </w:r>
      <w:r w:rsidR="00AD7772">
        <w:t xml:space="preserve"> менее 2</w:t>
      </w:r>
      <w:r w:rsidRPr="0020030E">
        <w:t xml:space="preserve"> атомов V на 1 нм</w:t>
      </w:r>
      <w:proofErr w:type="gramStart"/>
      <w:r w:rsidRPr="002B0265">
        <w:rPr>
          <w:vertAlign w:val="superscript"/>
        </w:rPr>
        <w:t>2</w:t>
      </w:r>
      <w:proofErr w:type="gramEnd"/>
      <w:r w:rsidRPr="0020030E">
        <w:t xml:space="preserve">, что значительно ниже порога образования сплошного </w:t>
      </w:r>
      <w:proofErr w:type="spellStart"/>
      <w:r w:rsidRPr="0020030E">
        <w:t>поливанадиевого</w:t>
      </w:r>
      <w:proofErr w:type="spellEnd"/>
      <w:r w:rsidRPr="0020030E">
        <w:t xml:space="preserve"> </w:t>
      </w:r>
      <w:proofErr w:type="spellStart"/>
      <w:r w:rsidRPr="0020030E">
        <w:t>монослоя</w:t>
      </w:r>
      <w:proofErr w:type="spellEnd"/>
      <w:r w:rsidRPr="0020030E">
        <w:t xml:space="preserve"> (7–8 </w:t>
      </w:r>
      <w:proofErr w:type="spellStart"/>
      <w:r w:rsidRPr="0020030E">
        <w:t>ат</w:t>
      </w:r>
      <w:proofErr w:type="spellEnd"/>
      <w:r w:rsidRPr="0020030E">
        <w:t>/нм</w:t>
      </w:r>
      <w:r w:rsidRPr="002B0265">
        <w:rPr>
          <w:vertAlign w:val="superscript"/>
        </w:rPr>
        <w:t>2</w:t>
      </w:r>
      <w:r w:rsidRPr="0020030E">
        <w:t xml:space="preserve">) </w:t>
      </w:r>
      <w:r w:rsidR="00A639F9">
        <w:t>[2</w:t>
      </w:r>
      <w:r w:rsidRPr="0020030E">
        <w:t xml:space="preserve">]. </w:t>
      </w:r>
    </w:p>
    <w:p w:rsidR="007A4C32" w:rsidRPr="00AD7772" w:rsidRDefault="00AD7772" w:rsidP="007A4C32">
      <w:pPr>
        <w:ind w:firstLine="397"/>
        <w:jc w:val="both"/>
      </w:pPr>
      <w:r>
        <w:t>Полученные экспериментальные данные свидетельствуют о принципиальной возможности формирова</w:t>
      </w:r>
      <w:r w:rsidR="007A63D2">
        <w:t>ния высокодисперсной каталитичес</w:t>
      </w:r>
      <w:r>
        <w:t xml:space="preserve">кой фазы на поверхности </w:t>
      </w:r>
      <w:r w:rsidRPr="0020030E">
        <w:t>γ-Al</w:t>
      </w:r>
      <w:r w:rsidRPr="00220D2B">
        <w:rPr>
          <w:vertAlign w:val="subscript"/>
        </w:rPr>
        <w:t>2</w:t>
      </w:r>
      <w:r w:rsidRPr="0020030E">
        <w:t>O</w:t>
      </w:r>
      <w:r w:rsidRPr="00220D2B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для повышения селективности по целевому продукту процесса дегидрирования легких </w:t>
      </w:r>
      <w:proofErr w:type="spellStart"/>
      <w:r>
        <w:t>алканов</w:t>
      </w:r>
      <w:proofErr w:type="spellEnd"/>
      <w:r>
        <w:t>.</w:t>
      </w:r>
    </w:p>
    <w:p w:rsidR="00F97F75" w:rsidRPr="00AD7772" w:rsidRDefault="00AD7772" w:rsidP="00AD7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D7772">
        <w:rPr>
          <w:b/>
          <w:color w:val="000000"/>
        </w:rPr>
        <w:t xml:space="preserve">Литература </w:t>
      </w:r>
    </w:p>
    <w:p w:rsidR="0020030E" w:rsidRPr="006A5F54" w:rsidRDefault="006A5F54" w:rsidP="006A5F54">
      <w:pPr>
        <w:jc w:val="both"/>
        <w:rPr>
          <w:color w:val="000000"/>
          <w:lang w:val="en-US"/>
        </w:rPr>
      </w:pPr>
      <w:r>
        <w:t xml:space="preserve">1. </w:t>
      </w:r>
      <w:proofErr w:type="gramStart"/>
      <w:r w:rsidRPr="006A5F54">
        <w:rPr>
          <w:color w:val="000000"/>
          <w:lang w:val="en-US"/>
        </w:rPr>
        <w:t>Sattler</w:t>
      </w:r>
      <w:r w:rsidRPr="00BE2869">
        <w:rPr>
          <w:color w:val="000000"/>
        </w:rPr>
        <w:t xml:space="preserve"> </w:t>
      </w:r>
      <w:r w:rsidRPr="006A5F54">
        <w:rPr>
          <w:color w:val="000000"/>
          <w:lang w:val="en-US"/>
        </w:rPr>
        <w:t>J</w:t>
      </w:r>
      <w:r w:rsidRPr="00BE2869">
        <w:rPr>
          <w:color w:val="000000"/>
        </w:rPr>
        <w:t xml:space="preserve">. </w:t>
      </w:r>
      <w:r w:rsidRPr="006A5F54">
        <w:rPr>
          <w:color w:val="000000"/>
          <w:lang w:val="en-US"/>
        </w:rPr>
        <w:t>J</w:t>
      </w:r>
      <w:r w:rsidRPr="00BE2869">
        <w:rPr>
          <w:color w:val="000000"/>
        </w:rPr>
        <w:t xml:space="preserve">. </w:t>
      </w:r>
      <w:r w:rsidRPr="006A5F54">
        <w:rPr>
          <w:color w:val="000000"/>
          <w:lang w:val="en-US"/>
        </w:rPr>
        <w:t>H</w:t>
      </w:r>
      <w:r w:rsidRPr="00BE2869">
        <w:rPr>
          <w:color w:val="000000"/>
        </w:rPr>
        <w:t xml:space="preserve">. </w:t>
      </w:r>
      <w:r w:rsidRPr="006A5F54">
        <w:rPr>
          <w:color w:val="000000"/>
          <w:lang w:val="en-US"/>
        </w:rPr>
        <w:t>B</w:t>
      </w:r>
      <w:r w:rsidRPr="00BE2869">
        <w:rPr>
          <w:color w:val="000000"/>
        </w:rPr>
        <w:t>. и др.</w:t>
      </w:r>
      <w:proofErr w:type="gramEnd"/>
      <w:r w:rsidRPr="00BE2869">
        <w:rPr>
          <w:color w:val="000000"/>
        </w:rPr>
        <w:t xml:space="preserve"> </w:t>
      </w:r>
      <w:r w:rsidRPr="006A5F54">
        <w:rPr>
          <w:color w:val="000000"/>
          <w:lang w:val="en-US"/>
        </w:rPr>
        <w:t xml:space="preserve">Catalytic Dehydrogenation of Light Alkanes on Metals and Metal Oxides // Chemical Reviews. 2014. Т. vol. 114. № </w:t>
      </w:r>
      <w:proofErr w:type="gramStart"/>
      <w:r w:rsidRPr="006A5F54">
        <w:rPr>
          <w:color w:val="000000"/>
          <w:lang w:val="en-US"/>
        </w:rPr>
        <w:t>no</w:t>
      </w:r>
      <w:proofErr w:type="gramEnd"/>
      <w:r w:rsidRPr="006A5F54">
        <w:rPr>
          <w:color w:val="000000"/>
          <w:lang w:val="en-US"/>
        </w:rPr>
        <w:t>. 20. С. p.p. 10613-10653.</w:t>
      </w:r>
    </w:p>
    <w:p w:rsidR="0020030E" w:rsidRDefault="006A5F54" w:rsidP="00A639F9">
      <w:pPr>
        <w:jc w:val="both"/>
      </w:pPr>
      <w:r w:rsidRPr="00A639F9">
        <w:rPr>
          <w:lang w:val="en-US"/>
        </w:rPr>
        <w:t xml:space="preserve">2. </w:t>
      </w:r>
      <w:proofErr w:type="spellStart"/>
      <w:r w:rsidR="00A639F9" w:rsidRPr="00A639F9">
        <w:rPr>
          <w:color w:val="000000"/>
          <w:lang w:val="en-US"/>
        </w:rPr>
        <w:t>Malygin</w:t>
      </w:r>
      <w:proofErr w:type="spellEnd"/>
      <w:r w:rsidR="00A639F9" w:rsidRPr="00A639F9">
        <w:rPr>
          <w:color w:val="000000"/>
          <w:lang w:val="en-US"/>
        </w:rPr>
        <w:t xml:space="preserve"> A. A. и </w:t>
      </w:r>
      <w:proofErr w:type="spellStart"/>
      <w:r w:rsidR="00A639F9" w:rsidRPr="00A639F9">
        <w:rPr>
          <w:color w:val="000000"/>
          <w:lang w:val="en-US"/>
        </w:rPr>
        <w:t>др</w:t>
      </w:r>
      <w:proofErr w:type="spellEnd"/>
      <w:r w:rsidR="00A639F9" w:rsidRPr="00A639F9">
        <w:rPr>
          <w:color w:val="000000"/>
          <w:lang w:val="en-US"/>
        </w:rPr>
        <w:t xml:space="preserve">. From V. B. </w:t>
      </w:r>
      <w:proofErr w:type="spellStart"/>
      <w:r w:rsidR="00A639F9" w:rsidRPr="00A639F9">
        <w:rPr>
          <w:color w:val="000000"/>
          <w:lang w:val="en-US"/>
        </w:rPr>
        <w:t>Aleskovskii’s</w:t>
      </w:r>
      <w:proofErr w:type="spellEnd"/>
      <w:r w:rsidR="00A639F9" w:rsidRPr="00A639F9">
        <w:rPr>
          <w:color w:val="000000"/>
          <w:lang w:val="en-US"/>
        </w:rPr>
        <w:t xml:space="preserve"> “Framework” Hypothesis to the Method of Molecular Layering/Atomic Layer Deposition // Chemical Vapor Deposition. 2015. Т. vol. 21. № </w:t>
      </w:r>
      <w:proofErr w:type="gramStart"/>
      <w:r w:rsidR="00A639F9" w:rsidRPr="00A639F9">
        <w:rPr>
          <w:color w:val="000000"/>
          <w:lang w:val="en-US"/>
        </w:rPr>
        <w:t>no</w:t>
      </w:r>
      <w:proofErr w:type="gramEnd"/>
      <w:r w:rsidR="00A639F9" w:rsidRPr="00A639F9">
        <w:rPr>
          <w:color w:val="000000"/>
          <w:lang w:val="en-US"/>
        </w:rPr>
        <w:t>. 10-11-12. С. p.p. 216-240.</w:t>
      </w:r>
    </w:p>
    <w:p w:rsidR="007A4C32" w:rsidRPr="00F97F75" w:rsidRDefault="007A4C32" w:rsidP="00220D2B">
      <w:pPr>
        <w:jc w:val="both"/>
      </w:pPr>
    </w:p>
    <w:sectPr w:rsidR="007A4C32" w:rsidRPr="00F97F75" w:rsidSect="007A4C3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A167A7F"/>
    <w:multiLevelType w:val="hybridMultilevel"/>
    <w:tmpl w:val="6C184944"/>
    <w:lvl w:ilvl="0" w:tplc="957E6B5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20030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3426"/>
    <w:rsid w:val="001A5CC2"/>
    <w:rsid w:val="001E61C2"/>
    <w:rsid w:val="001F0493"/>
    <w:rsid w:val="0020030E"/>
    <w:rsid w:val="00220D2B"/>
    <w:rsid w:val="0022260A"/>
    <w:rsid w:val="002264EE"/>
    <w:rsid w:val="00226824"/>
    <w:rsid w:val="0023307C"/>
    <w:rsid w:val="002B0265"/>
    <w:rsid w:val="0031361E"/>
    <w:rsid w:val="00355DCB"/>
    <w:rsid w:val="00364B64"/>
    <w:rsid w:val="00391C38"/>
    <w:rsid w:val="003B76D6"/>
    <w:rsid w:val="003E2601"/>
    <w:rsid w:val="003F4E6B"/>
    <w:rsid w:val="004049D3"/>
    <w:rsid w:val="00425FF9"/>
    <w:rsid w:val="004A26A3"/>
    <w:rsid w:val="004D65F0"/>
    <w:rsid w:val="004F0EDF"/>
    <w:rsid w:val="00522BF1"/>
    <w:rsid w:val="00590166"/>
    <w:rsid w:val="005D022B"/>
    <w:rsid w:val="005E5BE9"/>
    <w:rsid w:val="0061027E"/>
    <w:rsid w:val="0069427D"/>
    <w:rsid w:val="006A5F54"/>
    <w:rsid w:val="006F7A19"/>
    <w:rsid w:val="00713C73"/>
    <w:rsid w:val="007213E1"/>
    <w:rsid w:val="00774306"/>
    <w:rsid w:val="00775389"/>
    <w:rsid w:val="00797838"/>
    <w:rsid w:val="007A4C32"/>
    <w:rsid w:val="007A63D2"/>
    <w:rsid w:val="007C36D8"/>
    <w:rsid w:val="007F2744"/>
    <w:rsid w:val="008067CB"/>
    <w:rsid w:val="00887B78"/>
    <w:rsid w:val="008931BE"/>
    <w:rsid w:val="008C67E3"/>
    <w:rsid w:val="00914205"/>
    <w:rsid w:val="00921D45"/>
    <w:rsid w:val="0094185C"/>
    <w:rsid w:val="009426C0"/>
    <w:rsid w:val="00980A65"/>
    <w:rsid w:val="009A66DB"/>
    <w:rsid w:val="009B2F80"/>
    <w:rsid w:val="009B3300"/>
    <w:rsid w:val="009F3380"/>
    <w:rsid w:val="00A02163"/>
    <w:rsid w:val="00A314FE"/>
    <w:rsid w:val="00A639F9"/>
    <w:rsid w:val="00A91E0A"/>
    <w:rsid w:val="00AD7380"/>
    <w:rsid w:val="00AD7772"/>
    <w:rsid w:val="00B21D0F"/>
    <w:rsid w:val="00BE2869"/>
    <w:rsid w:val="00BE383C"/>
    <w:rsid w:val="00BF36F8"/>
    <w:rsid w:val="00BF4622"/>
    <w:rsid w:val="00BF75B5"/>
    <w:rsid w:val="00C844E2"/>
    <w:rsid w:val="00CD00B1"/>
    <w:rsid w:val="00D22306"/>
    <w:rsid w:val="00D42542"/>
    <w:rsid w:val="00D8121C"/>
    <w:rsid w:val="00E22189"/>
    <w:rsid w:val="00E74069"/>
    <w:rsid w:val="00E81D35"/>
    <w:rsid w:val="00EA52CB"/>
    <w:rsid w:val="00EB1F49"/>
    <w:rsid w:val="00F865B3"/>
    <w:rsid w:val="00F903E7"/>
    <w:rsid w:val="00F97F75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13C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13C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13C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13C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13C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13C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13C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13C7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13C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97F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7F75"/>
    <w:rPr>
      <w:rFonts w:ascii="Tahoma" w:eastAsia="Times New Roman" w:hAnsi="Tahoma" w:cs="Tahoma"/>
      <w:sz w:val="16"/>
      <w:szCs w:val="16"/>
    </w:rPr>
  </w:style>
  <w:style w:type="paragraph" w:customStyle="1" w:styleId="AcknRefBIC-RUS">
    <w:name w:val="Ackn &amp; Ref BIC-RUS"/>
    <w:basedOn w:val="a"/>
    <w:qFormat/>
    <w:rsid w:val="00F97F75"/>
    <w:pPr>
      <w:keepNext/>
      <w:outlineLvl w:val="2"/>
    </w:pPr>
    <w:rPr>
      <w:rFonts w:ascii="Calibri" w:hAnsi="Calibri"/>
      <w:bCs/>
      <w:sz w:val="22"/>
      <w:szCs w:val="22"/>
      <w:lang w:eastAsia="en-US"/>
    </w:rPr>
  </w:style>
  <w:style w:type="paragraph" w:customStyle="1" w:styleId="ad">
    <w:name w:val="База"/>
    <w:basedOn w:val="a"/>
    <w:link w:val="ae"/>
    <w:autoRedefine/>
    <w:qFormat/>
    <w:rsid w:val="0020030E"/>
    <w:pPr>
      <w:ind w:firstLine="567"/>
      <w:jc w:val="both"/>
    </w:pPr>
    <w:rPr>
      <w:color w:val="1A1A1A"/>
      <w:szCs w:val="28"/>
    </w:rPr>
  </w:style>
  <w:style w:type="character" w:customStyle="1" w:styleId="ae">
    <w:name w:val="База Знак"/>
    <w:link w:val="ad"/>
    <w:rsid w:val="0020030E"/>
    <w:rPr>
      <w:rFonts w:ascii="Times New Roman" w:eastAsia="Times New Roman" w:hAnsi="Times New Roman" w:cs="Times New Roman"/>
      <w:color w:val="1A1A1A"/>
      <w:sz w:val="24"/>
      <w:szCs w:val="28"/>
    </w:rPr>
  </w:style>
  <w:style w:type="character" w:customStyle="1" w:styleId="apple-converted-space">
    <w:name w:val="apple-converted-space"/>
    <w:rsid w:val="0020030E"/>
  </w:style>
  <w:style w:type="character" w:customStyle="1" w:styleId="wmi-callto">
    <w:name w:val="wmi-callto"/>
    <w:basedOn w:val="a0"/>
    <w:rsid w:val="006A5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13C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13C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13C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13C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13C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13C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13C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13C7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13C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97F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7F75"/>
    <w:rPr>
      <w:rFonts w:ascii="Tahoma" w:eastAsia="Times New Roman" w:hAnsi="Tahoma" w:cs="Tahoma"/>
      <w:sz w:val="16"/>
      <w:szCs w:val="16"/>
    </w:rPr>
  </w:style>
  <w:style w:type="paragraph" w:customStyle="1" w:styleId="AcknRefBIC-RUS">
    <w:name w:val="Ackn &amp; Ref BIC-RUS"/>
    <w:basedOn w:val="a"/>
    <w:qFormat/>
    <w:rsid w:val="00F97F75"/>
    <w:pPr>
      <w:keepNext/>
      <w:outlineLvl w:val="2"/>
    </w:pPr>
    <w:rPr>
      <w:rFonts w:ascii="Calibri" w:hAnsi="Calibri"/>
      <w:bCs/>
      <w:sz w:val="22"/>
      <w:szCs w:val="22"/>
      <w:lang w:eastAsia="en-US"/>
    </w:rPr>
  </w:style>
  <w:style w:type="paragraph" w:customStyle="1" w:styleId="ad">
    <w:name w:val="База"/>
    <w:basedOn w:val="a"/>
    <w:link w:val="ae"/>
    <w:autoRedefine/>
    <w:qFormat/>
    <w:rsid w:val="0020030E"/>
    <w:pPr>
      <w:ind w:firstLine="567"/>
      <w:jc w:val="both"/>
    </w:pPr>
    <w:rPr>
      <w:color w:val="1A1A1A"/>
      <w:szCs w:val="28"/>
    </w:rPr>
  </w:style>
  <w:style w:type="character" w:customStyle="1" w:styleId="ae">
    <w:name w:val="База Знак"/>
    <w:link w:val="ad"/>
    <w:rsid w:val="0020030E"/>
    <w:rPr>
      <w:rFonts w:ascii="Times New Roman" w:eastAsia="Times New Roman" w:hAnsi="Times New Roman" w:cs="Times New Roman"/>
      <w:color w:val="1A1A1A"/>
      <w:sz w:val="24"/>
      <w:szCs w:val="28"/>
    </w:rPr>
  </w:style>
  <w:style w:type="character" w:customStyle="1" w:styleId="apple-converted-space">
    <w:name w:val="apple-converted-space"/>
    <w:rsid w:val="0020030E"/>
  </w:style>
  <w:style w:type="character" w:customStyle="1" w:styleId="wmi-callto">
    <w:name w:val="wmi-callto"/>
    <w:basedOn w:val="a0"/>
    <w:rsid w:val="006A5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Kulkov_Lomonosov202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A7945A-1E85-412D-AC95-3DC234AE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Kulkov_Lomonosov2025</Template>
  <TotalTime>185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Матвей Максимович</cp:lastModifiedBy>
  <cp:revision>6</cp:revision>
  <dcterms:created xsi:type="dcterms:W3CDTF">2026-03-02T15:38:00Z</dcterms:created>
  <dcterms:modified xsi:type="dcterms:W3CDTF">2026-03-04T18:15:00Z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