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5AC21" w14:textId="77D013A2" w:rsidR="00EF69AE" w:rsidRPr="001739E9" w:rsidRDefault="004D49E5" w:rsidP="001739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Физически-информированное предсказание спектров поглощения органических молекул </w:t>
      </w:r>
      <w:r w:rsidR="001739E9">
        <w:rPr>
          <w:b/>
          <w:color w:val="000000"/>
          <w:sz w:val="28"/>
        </w:rPr>
        <w:t>методами машинного обучения</w:t>
      </w:r>
    </w:p>
    <w:p w14:paraId="0950ABD3" w14:textId="230BF10D" w:rsidR="00C616BF" w:rsidRDefault="001739E9" w:rsidP="001739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i/>
          <w:color w:val="000000"/>
        </w:rPr>
      </w:pPr>
      <w:r w:rsidRPr="00B50636">
        <w:rPr>
          <w:b/>
          <w:i/>
          <w:color w:val="000000"/>
        </w:rPr>
        <w:t>Ильин</w:t>
      </w:r>
      <w:r w:rsidR="00CB2739" w:rsidRPr="00B50636">
        <w:rPr>
          <w:b/>
          <w:i/>
          <w:color w:val="000000"/>
        </w:rPr>
        <w:t xml:space="preserve"> </w:t>
      </w:r>
      <w:r w:rsidR="00CB2739" w:rsidRPr="00B50636">
        <w:rPr>
          <w:b/>
          <w:i/>
          <w:color w:val="000000"/>
          <w:lang w:val="en-US"/>
        </w:rPr>
        <w:t>E</w:t>
      </w:r>
      <w:r w:rsidR="00CB2739" w:rsidRPr="00B50636">
        <w:rPr>
          <w:b/>
          <w:i/>
          <w:color w:val="000000"/>
        </w:rPr>
        <w:t>.</w:t>
      </w:r>
      <w:r w:rsidR="00CB2739" w:rsidRPr="00B50636">
        <w:rPr>
          <w:b/>
          <w:i/>
          <w:color w:val="000000"/>
          <w:lang w:val="en-US"/>
        </w:rPr>
        <w:t>A</w:t>
      </w:r>
      <w:r w:rsidR="00CB2739" w:rsidRPr="00B50636">
        <w:rPr>
          <w:b/>
          <w:i/>
          <w:color w:val="000000"/>
        </w:rPr>
        <w:t>.</w:t>
      </w:r>
      <w:r w:rsidR="00CB2739" w:rsidRPr="001739E9">
        <w:rPr>
          <w:i/>
          <w:color w:val="000000"/>
          <w:vertAlign w:val="superscript"/>
        </w:rPr>
        <w:t>1</w:t>
      </w:r>
      <w:r w:rsidR="00405649" w:rsidRPr="001739E9">
        <w:rPr>
          <w:b/>
          <w:i/>
          <w:color w:val="000000"/>
        </w:rPr>
        <w:t>,</w:t>
      </w:r>
      <w:r w:rsidR="004D49E5">
        <w:rPr>
          <w:b/>
          <w:i/>
          <w:color w:val="000000"/>
        </w:rPr>
        <w:t xml:space="preserve"> </w:t>
      </w:r>
      <w:proofErr w:type="spellStart"/>
      <w:r w:rsidR="004D49E5">
        <w:rPr>
          <w:b/>
          <w:i/>
          <w:color w:val="000000"/>
        </w:rPr>
        <w:t>Малашкевич</w:t>
      </w:r>
      <w:proofErr w:type="spellEnd"/>
      <w:r w:rsidR="004D49E5">
        <w:rPr>
          <w:b/>
          <w:i/>
          <w:color w:val="000000"/>
        </w:rPr>
        <w:t xml:space="preserve"> С</w:t>
      </w:r>
      <w:r w:rsidR="004D49E5" w:rsidRPr="004D49E5">
        <w:rPr>
          <w:b/>
          <w:i/>
          <w:color w:val="000000"/>
        </w:rPr>
        <w:t>.</w:t>
      </w:r>
      <w:r w:rsidR="004D49E5">
        <w:rPr>
          <w:b/>
          <w:i/>
          <w:color w:val="000000"/>
        </w:rPr>
        <w:t>М</w:t>
      </w:r>
      <w:r w:rsidR="004D49E5" w:rsidRPr="004D49E5">
        <w:rPr>
          <w:b/>
          <w:i/>
          <w:color w:val="000000"/>
        </w:rPr>
        <w:t>.</w:t>
      </w:r>
      <w:r w:rsidR="004D49E5" w:rsidRPr="004D49E5">
        <w:rPr>
          <w:bCs/>
          <w:i/>
          <w:color w:val="000000"/>
          <w:vertAlign w:val="superscript"/>
        </w:rPr>
        <w:t>1</w:t>
      </w:r>
      <w:r w:rsidR="004D49E5" w:rsidRPr="004D49E5">
        <w:rPr>
          <w:b/>
          <w:i/>
          <w:color w:val="000000"/>
        </w:rPr>
        <w:t>,</w:t>
      </w:r>
      <w:r w:rsidR="00C616BF" w:rsidRPr="001739E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Иоффе</w:t>
      </w:r>
      <w:r w:rsidRPr="001739E9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И</w:t>
      </w:r>
      <w:r w:rsidRPr="001739E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C616BF" w:rsidRPr="001739E9">
        <w:rPr>
          <w:b/>
          <w:i/>
          <w:color w:val="000000"/>
        </w:rPr>
        <w:t>.</w:t>
      </w:r>
      <w:proofErr w:type="gramEnd"/>
      <w:r w:rsidRPr="001739E9">
        <w:rPr>
          <w:i/>
          <w:color w:val="000000"/>
          <w:vertAlign w:val="superscript"/>
        </w:rPr>
        <w:t>1</w:t>
      </w:r>
    </w:p>
    <w:p w14:paraId="3D97ABE8" w14:textId="4D41C9E4" w:rsidR="004D49E5" w:rsidRPr="004D49E5" w:rsidRDefault="004D49E5" w:rsidP="001739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i/>
          <w:color w:val="000000"/>
        </w:rPr>
      </w:pPr>
      <w:r>
        <w:rPr>
          <w:i/>
          <w:color w:val="000000"/>
        </w:rPr>
        <w:t>Аспирант 2 года обучения</w:t>
      </w:r>
    </w:p>
    <w:p w14:paraId="286A812C" w14:textId="241096BC" w:rsidR="00991CD4" w:rsidRPr="002E6F56" w:rsidRDefault="00C616BF" w:rsidP="001739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i/>
          <w:color w:val="222222"/>
          <w:shd w:val="clear" w:color="auto" w:fill="FFFFFF"/>
        </w:rPr>
      </w:pPr>
      <w:r w:rsidRPr="002E6F56">
        <w:rPr>
          <w:i/>
          <w:vertAlign w:val="superscript"/>
        </w:rPr>
        <w:t>1</w:t>
      </w:r>
      <w:r w:rsidR="002E6F56">
        <w:rPr>
          <w:i/>
        </w:rPr>
        <w:t>Московский Государственный Университет</w:t>
      </w:r>
      <w:r w:rsidR="00B50636">
        <w:rPr>
          <w:i/>
        </w:rPr>
        <w:t xml:space="preserve"> им </w:t>
      </w:r>
      <w:proofErr w:type="gramStart"/>
      <w:r w:rsidR="00B50636">
        <w:rPr>
          <w:i/>
        </w:rPr>
        <w:t>М.В.</w:t>
      </w:r>
      <w:proofErr w:type="gramEnd"/>
      <w:r w:rsidR="00B50636">
        <w:rPr>
          <w:i/>
        </w:rPr>
        <w:t xml:space="preserve"> Ломоносова</w:t>
      </w:r>
      <w:r w:rsidRPr="002E6F56">
        <w:rPr>
          <w:i/>
        </w:rPr>
        <w:t>,</w:t>
      </w:r>
      <w:r w:rsidR="00B50636">
        <w:rPr>
          <w:i/>
        </w:rPr>
        <w:t xml:space="preserve"> химический факультет,</w:t>
      </w:r>
      <w:r w:rsidRPr="002E6F56">
        <w:rPr>
          <w:i/>
        </w:rPr>
        <w:t xml:space="preserve"> </w:t>
      </w:r>
      <w:r w:rsidR="002E6F56">
        <w:rPr>
          <w:i/>
        </w:rPr>
        <w:t>Москва, Россия</w:t>
      </w:r>
    </w:p>
    <w:p w14:paraId="46200DE4" w14:textId="453B90CF" w:rsidR="001501E9" w:rsidRPr="00B50636" w:rsidRDefault="001501E9" w:rsidP="003707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i/>
          <w:u w:val="single"/>
        </w:rPr>
      </w:pPr>
      <w:r w:rsidRPr="00B50636">
        <w:rPr>
          <w:i/>
          <w:color w:val="222222"/>
          <w:u w:val="single"/>
          <w:shd w:val="clear" w:color="auto" w:fill="FFFFFF"/>
          <w:lang w:val="en-US"/>
        </w:rPr>
        <w:t>Ilin</w:t>
      </w:r>
      <w:r w:rsidRPr="00B50636">
        <w:rPr>
          <w:i/>
          <w:color w:val="222222"/>
          <w:u w:val="single"/>
          <w:shd w:val="clear" w:color="auto" w:fill="FFFFFF"/>
        </w:rPr>
        <w:t>.</w:t>
      </w:r>
      <w:proofErr w:type="spellStart"/>
      <w:r w:rsidRPr="00B50636">
        <w:rPr>
          <w:i/>
          <w:color w:val="222222"/>
          <w:u w:val="single"/>
          <w:shd w:val="clear" w:color="auto" w:fill="FFFFFF"/>
          <w:lang w:val="en-US"/>
        </w:rPr>
        <w:t>eg</w:t>
      </w:r>
      <w:proofErr w:type="spellEnd"/>
      <w:r w:rsidRPr="00B50636">
        <w:rPr>
          <w:i/>
          <w:color w:val="222222"/>
          <w:u w:val="single"/>
          <w:shd w:val="clear" w:color="auto" w:fill="FFFFFF"/>
        </w:rPr>
        <w:t>.2000@</w:t>
      </w:r>
      <w:proofErr w:type="spellStart"/>
      <w:r w:rsidRPr="00B50636">
        <w:rPr>
          <w:i/>
          <w:color w:val="222222"/>
          <w:u w:val="single"/>
          <w:shd w:val="clear" w:color="auto" w:fill="FFFFFF"/>
          <w:lang w:val="en-US"/>
        </w:rPr>
        <w:t>gmail</w:t>
      </w:r>
      <w:proofErr w:type="spellEnd"/>
      <w:r w:rsidRPr="00B50636">
        <w:rPr>
          <w:i/>
          <w:color w:val="222222"/>
          <w:u w:val="single"/>
          <w:shd w:val="clear" w:color="auto" w:fill="FFFFFF"/>
        </w:rPr>
        <w:t>.</w:t>
      </w:r>
      <w:r w:rsidRPr="00B50636">
        <w:rPr>
          <w:i/>
          <w:color w:val="222222"/>
          <w:u w:val="single"/>
          <w:shd w:val="clear" w:color="auto" w:fill="FFFFFF"/>
          <w:lang w:val="en-US"/>
        </w:rPr>
        <w:t>com</w:t>
      </w:r>
    </w:p>
    <w:p w14:paraId="35414182" w14:textId="72D83BE9" w:rsidR="00D81681" w:rsidRPr="00304696" w:rsidRDefault="00D81681" w:rsidP="00B50636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709"/>
        <w:jc w:val="both"/>
        <w:rPr>
          <w:color w:val="000000"/>
          <w:lang w:val="en-US"/>
        </w:rPr>
      </w:pPr>
      <w:r w:rsidRPr="00D81681">
        <w:rPr>
          <w:color w:val="000000"/>
        </w:rPr>
        <w:t xml:space="preserve">Разработка люминесцентных материалов требует глубокого понимания фотофизических характеристик молекул, прежде всего их спектров поглощения. Большинство современных подходов ограничивается предсказанием точечных параметров (максимумов поглощения), оставляя в стороне спектральные свойства в целом. Хотя </w:t>
      </w:r>
      <w:proofErr w:type="spellStart"/>
      <w:r w:rsidRPr="00D81681">
        <w:rPr>
          <w:color w:val="000000"/>
        </w:rPr>
        <w:t>графовые</w:t>
      </w:r>
      <w:proofErr w:type="spellEnd"/>
      <w:r w:rsidRPr="00D81681">
        <w:rPr>
          <w:color w:val="000000"/>
        </w:rPr>
        <w:t xml:space="preserve"> нейронные сети уже продемонстрировали способность предсказывать спектры поглощения, существующие модели не учитывают физическую природу процесса поглощения.</w:t>
      </w:r>
      <w:r w:rsidR="00304696" w:rsidRPr="00304696">
        <w:rPr>
          <w:color w:val="000000"/>
        </w:rPr>
        <w:t xml:space="preserve"> </w:t>
      </w:r>
      <w:r w:rsidR="00304696">
        <w:rPr>
          <w:color w:val="000000"/>
          <w:lang w:val="en-US"/>
        </w:rPr>
        <w:t>[1]</w:t>
      </w:r>
    </w:p>
    <w:p w14:paraId="315304CD" w14:textId="6E506F33" w:rsidR="002C23FA" w:rsidRPr="002C23FA" w:rsidRDefault="002C23FA" w:rsidP="00B50636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709"/>
        <w:jc w:val="both"/>
        <w:rPr>
          <w:color w:val="000000"/>
          <w:lang w:val="en-US"/>
        </w:rPr>
      </w:pPr>
      <w:r w:rsidRPr="002C23FA">
        <w:rPr>
          <w:color w:val="000000"/>
        </w:rPr>
        <w:t xml:space="preserve">В данной работе предложена модель, явно учитывающая физику поглощения. Обучение проводилось на 3000 экспериментальных спектрах поглощения в диапазоне 220–400 нм. В качестве </w:t>
      </w:r>
      <w:proofErr w:type="spellStart"/>
      <w:r w:rsidRPr="002C23FA">
        <w:rPr>
          <w:color w:val="000000"/>
        </w:rPr>
        <w:t>энкодера</w:t>
      </w:r>
      <w:proofErr w:type="spellEnd"/>
      <w:r w:rsidRPr="002C23FA">
        <w:rPr>
          <w:color w:val="000000"/>
        </w:rPr>
        <w:t xml:space="preserve"> молекулярной структуры использована сеть MPNN</w:t>
      </w:r>
      <w:r w:rsidR="00693324">
        <w:rPr>
          <w:color w:val="000000"/>
        </w:rPr>
        <w:t xml:space="preserve"> (</w:t>
      </w:r>
      <w:proofErr w:type="spellStart"/>
      <w:r w:rsidR="00693324">
        <w:rPr>
          <w:color w:val="000000"/>
        </w:rPr>
        <w:t>графовая</w:t>
      </w:r>
      <w:proofErr w:type="spellEnd"/>
      <w:r w:rsidR="00693324">
        <w:rPr>
          <w:color w:val="000000"/>
        </w:rPr>
        <w:t xml:space="preserve"> нейросеть)</w:t>
      </w:r>
      <w:r w:rsidRPr="002C23FA">
        <w:rPr>
          <w:color w:val="000000"/>
        </w:rPr>
        <w:t xml:space="preserve">; для описания конформационной жёсткости молекул введены дескрипторы жёсткости связей из </w:t>
      </w:r>
      <w:proofErr w:type="spellStart"/>
      <w:r w:rsidRPr="002C23FA">
        <w:rPr>
          <w:color w:val="000000"/>
        </w:rPr>
        <w:t>RDKit</w:t>
      </w:r>
      <w:proofErr w:type="spellEnd"/>
      <w:r w:rsidRPr="002C23FA">
        <w:rPr>
          <w:color w:val="000000"/>
        </w:rPr>
        <w:t xml:space="preserve">. Вместо стандартной </w:t>
      </w:r>
      <w:proofErr w:type="spellStart"/>
      <w:r w:rsidRPr="002C23FA">
        <w:rPr>
          <w:color w:val="000000"/>
        </w:rPr>
        <w:t>полносвязной</w:t>
      </w:r>
      <w:proofErr w:type="spellEnd"/>
      <w:r w:rsidRPr="002C23FA">
        <w:rPr>
          <w:color w:val="000000"/>
        </w:rPr>
        <w:t xml:space="preserve"> сети применена </w:t>
      </w:r>
      <w:proofErr w:type="spellStart"/>
      <w:r w:rsidRPr="002C23FA">
        <w:rPr>
          <w:color w:val="000000"/>
        </w:rPr>
        <w:t>FourierF</w:t>
      </w:r>
      <w:r w:rsidR="00693324">
        <w:rPr>
          <w:color w:val="000000"/>
        </w:rPr>
        <w:t>С</w:t>
      </w:r>
      <w:r w:rsidRPr="002C23FA">
        <w:rPr>
          <w:color w:val="000000"/>
        </w:rPr>
        <w:t>N</w:t>
      </w:r>
      <w:proofErr w:type="spellEnd"/>
      <w:r w:rsidR="00693324">
        <w:rPr>
          <w:color w:val="000000"/>
        </w:rPr>
        <w:t xml:space="preserve"> (</w:t>
      </w:r>
      <w:proofErr w:type="spellStart"/>
      <w:r w:rsidR="00693324">
        <w:rPr>
          <w:color w:val="000000"/>
        </w:rPr>
        <w:t>полносвязная</w:t>
      </w:r>
      <w:proofErr w:type="spellEnd"/>
      <w:r w:rsidR="00693324">
        <w:rPr>
          <w:color w:val="000000"/>
        </w:rPr>
        <w:t xml:space="preserve"> нейросеть с признаками Фурье)</w:t>
      </w:r>
      <w:r w:rsidRPr="002C23FA">
        <w:rPr>
          <w:color w:val="000000"/>
        </w:rPr>
        <w:t xml:space="preserve">, учитывающая длину волны возбуждения как явный параметр. Итоговая модель переводит молекулярные </w:t>
      </w:r>
      <w:proofErr w:type="spellStart"/>
      <w:r w:rsidRPr="002C23FA">
        <w:rPr>
          <w:color w:val="000000"/>
        </w:rPr>
        <w:t>эмбеддинги</w:t>
      </w:r>
      <w:proofErr w:type="spellEnd"/>
      <w:r w:rsidRPr="002C23FA">
        <w:rPr>
          <w:color w:val="000000"/>
        </w:rPr>
        <w:t xml:space="preserve"> в пространство параметров функции </w:t>
      </w:r>
      <w:proofErr w:type="spellStart"/>
      <w:r w:rsidRPr="002C23FA">
        <w:rPr>
          <w:color w:val="000000"/>
        </w:rPr>
        <w:t>Фойгта</w:t>
      </w:r>
      <w:proofErr w:type="spellEnd"/>
      <w:r w:rsidRPr="002C23FA">
        <w:rPr>
          <w:color w:val="000000"/>
        </w:rPr>
        <w:t>, аппроксимирующей форму экспериментального спектра.</w:t>
      </w:r>
    </w:p>
    <w:p w14:paraId="78906679" w14:textId="1A7AA8BD" w:rsidR="002C23FA" w:rsidRDefault="002C23FA" w:rsidP="004C5525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395"/>
        </w:tabs>
        <w:spacing w:before="40" w:after="40" w:line="276" w:lineRule="auto"/>
        <w:ind w:firstLine="709"/>
        <w:jc w:val="both"/>
        <w:rPr>
          <w:color w:val="000000"/>
          <w:lang w:val="en-US"/>
        </w:rPr>
      </w:pPr>
      <w:r w:rsidRPr="002C23FA">
        <w:rPr>
          <w:color w:val="000000"/>
        </w:rPr>
        <w:t>Предложенная модель достигает RMSE</w:t>
      </w:r>
      <w:r w:rsidR="00693324">
        <w:rPr>
          <w:color w:val="000000"/>
        </w:rPr>
        <w:t xml:space="preserve"> (СКО)</w:t>
      </w:r>
      <w:r w:rsidRPr="002C23FA">
        <w:rPr>
          <w:color w:val="000000"/>
        </w:rPr>
        <w:t xml:space="preserve"> = 0.10 против 0.13 у базовой модели на тех же данных. Поскольку RMSE не отражает структурное сходство спектров (положение максимумов, их относительное расположение), мы дополнительно вводим расстояние </w:t>
      </w:r>
      <w:proofErr w:type="spellStart"/>
      <w:r w:rsidRPr="002C23FA">
        <w:rPr>
          <w:color w:val="000000"/>
        </w:rPr>
        <w:t>Вассерштейна</w:t>
      </w:r>
      <w:proofErr w:type="spellEnd"/>
      <w:r w:rsidRPr="002C23FA">
        <w:rPr>
          <w:color w:val="000000"/>
        </w:rPr>
        <w:t xml:space="preserve"> как интерпретируемую метрику качества. По этой метрике наша модель даёт значение 10.3 против 14.3 у базовой модели, что свидетельствует о лучшем воспроизведении спектральных характеристик (Рис. 1).</w:t>
      </w:r>
    </w:p>
    <w:p w14:paraId="5FED064D" w14:textId="2B69A68F" w:rsidR="002C23FA" w:rsidRPr="002C23FA" w:rsidRDefault="003248A4" w:rsidP="004C5525">
      <w:pPr>
        <w:pStyle w:val="aa"/>
        <w:spacing w:after="120" w:line="276" w:lineRule="auto"/>
        <w:ind w:firstLine="142"/>
        <w:jc w:val="center"/>
        <w:rPr>
          <w:i w:val="0"/>
          <w:color w:val="000000" w:themeColor="text1"/>
          <w:sz w:val="20"/>
          <w:szCs w:val="24"/>
        </w:rPr>
      </w:pPr>
      <w:r>
        <w:rPr>
          <w:i w:val="0"/>
          <w:noProof/>
          <w:color w:val="000000" w:themeColor="text1"/>
          <w:sz w:val="20"/>
          <w:szCs w:val="24"/>
        </w:rPr>
        <w:drawing>
          <wp:inline distT="0" distB="0" distL="0" distR="0" wp14:anchorId="0F278801" wp14:editId="45E91527">
            <wp:extent cx="5831840" cy="2343150"/>
            <wp:effectExtent l="0" t="0" r="0" b="6350"/>
            <wp:docPr id="971512294" name="Рисунок 9" descr="Изображение выглядит как График, линия, снимок экрана, диаграмм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512294" name="Рисунок 9" descr="Изображение выглядит как График, линия, снимок экрана, диаграмм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BBE3F" w14:textId="6785B895" w:rsidR="00AC05BA" w:rsidRDefault="00B50636" w:rsidP="00304696">
      <w:pPr>
        <w:pStyle w:val="aa"/>
        <w:spacing w:before="120" w:after="0" w:line="276" w:lineRule="auto"/>
        <w:jc w:val="center"/>
        <w:rPr>
          <w:i w:val="0"/>
          <w:color w:val="000000" w:themeColor="text1"/>
          <w:sz w:val="24"/>
          <w:szCs w:val="24"/>
        </w:rPr>
      </w:pPr>
      <w:r w:rsidRPr="004C5525">
        <w:rPr>
          <w:b/>
          <w:bCs/>
          <w:i w:val="0"/>
          <w:color w:val="000000" w:themeColor="text1"/>
          <w:sz w:val="20"/>
          <w:szCs w:val="24"/>
        </w:rPr>
        <w:t>Рис</w:t>
      </w:r>
      <w:r w:rsidR="004C5525" w:rsidRPr="004C5525">
        <w:rPr>
          <w:b/>
          <w:bCs/>
          <w:i w:val="0"/>
          <w:color w:val="000000" w:themeColor="text1"/>
          <w:sz w:val="20"/>
          <w:szCs w:val="24"/>
        </w:rPr>
        <w:t>унок</w:t>
      </w:r>
      <w:r w:rsidR="001739E9" w:rsidRPr="004C5525">
        <w:rPr>
          <w:b/>
          <w:bCs/>
          <w:i w:val="0"/>
          <w:color w:val="000000" w:themeColor="text1"/>
          <w:sz w:val="20"/>
          <w:szCs w:val="24"/>
        </w:rPr>
        <w:t xml:space="preserve"> </w:t>
      </w:r>
      <w:r w:rsidR="00C34D94" w:rsidRPr="004C5525">
        <w:rPr>
          <w:b/>
          <w:bCs/>
          <w:i w:val="0"/>
          <w:color w:val="000000" w:themeColor="text1"/>
          <w:sz w:val="20"/>
          <w:szCs w:val="24"/>
        </w:rPr>
        <w:fldChar w:fldCharType="begin"/>
      </w:r>
      <w:r w:rsidR="00C34D94" w:rsidRPr="004C5525">
        <w:rPr>
          <w:b/>
          <w:bCs/>
          <w:i w:val="0"/>
          <w:color w:val="000000" w:themeColor="text1"/>
          <w:sz w:val="20"/>
          <w:szCs w:val="24"/>
        </w:rPr>
        <w:instrText xml:space="preserve"> </w:instrText>
      </w:r>
      <w:r w:rsidR="00C34D94" w:rsidRPr="004C5525">
        <w:rPr>
          <w:b/>
          <w:bCs/>
          <w:i w:val="0"/>
          <w:color w:val="000000" w:themeColor="text1"/>
          <w:sz w:val="20"/>
          <w:szCs w:val="24"/>
          <w:lang w:val="en-US"/>
        </w:rPr>
        <w:instrText>SEQ</w:instrText>
      </w:r>
      <w:r w:rsidR="00C34D94" w:rsidRPr="004C5525">
        <w:rPr>
          <w:b/>
          <w:bCs/>
          <w:i w:val="0"/>
          <w:color w:val="000000" w:themeColor="text1"/>
          <w:sz w:val="20"/>
          <w:szCs w:val="24"/>
        </w:rPr>
        <w:instrText xml:space="preserve"> Рисунок \* </w:instrText>
      </w:r>
      <w:r w:rsidR="00C34D94" w:rsidRPr="004C5525">
        <w:rPr>
          <w:b/>
          <w:bCs/>
          <w:i w:val="0"/>
          <w:color w:val="000000" w:themeColor="text1"/>
          <w:sz w:val="20"/>
          <w:szCs w:val="24"/>
          <w:lang w:val="en-US"/>
        </w:rPr>
        <w:instrText>ARABIC</w:instrText>
      </w:r>
      <w:r w:rsidR="00C34D94" w:rsidRPr="004C5525">
        <w:rPr>
          <w:b/>
          <w:bCs/>
          <w:i w:val="0"/>
          <w:color w:val="000000" w:themeColor="text1"/>
          <w:sz w:val="20"/>
          <w:szCs w:val="24"/>
        </w:rPr>
        <w:instrText xml:space="preserve"> </w:instrText>
      </w:r>
      <w:r w:rsidR="00C34D94" w:rsidRPr="004C5525">
        <w:rPr>
          <w:b/>
          <w:bCs/>
          <w:i w:val="0"/>
          <w:color w:val="000000" w:themeColor="text1"/>
          <w:sz w:val="20"/>
          <w:szCs w:val="24"/>
        </w:rPr>
        <w:fldChar w:fldCharType="separate"/>
      </w:r>
      <w:r w:rsidR="001501E9" w:rsidRPr="004C5525">
        <w:rPr>
          <w:b/>
          <w:bCs/>
          <w:i w:val="0"/>
          <w:noProof/>
          <w:color w:val="000000" w:themeColor="text1"/>
          <w:sz w:val="20"/>
          <w:szCs w:val="24"/>
        </w:rPr>
        <w:t>1</w:t>
      </w:r>
      <w:r w:rsidR="00C34D94" w:rsidRPr="004C5525">
        <w:rPr>
          <w:b/>
          <w:bCs/>
          <w:i w:val="0"/>
          <w:color w:val="000000" w:themeColor="text1"/>
          <w:sz w:val="20"/>
          <w:szCs w:val="24"/>
        </w:rPr>
        <w:fldChar w:fldCharType="end"/>
      </w:r>
      <w:r w:rsidR="001739E9" w:rsidRPr="004C5525">
        <w:rPr>
          <w:b/>
          <w:bCs/>
          <w:i w:val="0"/>
          <w:color w:val="000000" w:themeColor="text1"/>
          <w:sz w:val="20"/>
          <w:szCs w:val="24"/>
        </w:rPr>
        <w:t>.</w:t>
      </w:r>
      <w:r w:rsidR="001739E9">
        <w:rPr>
          <w:b/>
          <w:i w:val="0"/>
          <w:color w:val="000000" w:themeColor="text1"/>
          <w:sz w:val="20"/>
          <w:szCs w:val="24"/>
        </w:rPr>
        <w:t xml:space="preserve"> </w:t>
      </w:r>
      <w:r w:rsidR="001739E9" w:rsidRPr="001739E9">
        <w:rPr>
          <w:i w:val="0"/>
          <w:color w:val="000000" w:themeColor="text1"/>
          <w:sz w:val="20"/>
          <w:szCs w:val="24"/>
        </w:rPr>
        <w:t>Результирующие метрики предсказаний</w:t>
      </w:r>
      <w:r>
        <w:rPr>
          <w:i w:val="0"/>
          <w:color w:val="000000" w:themeColor="text1"/>
          <w:sz w:val="20"/>
          <w:szCs w:val="24"/>
        </w:rPr>
        <w:t xml:space="preserve"> максимумов поглощения и люминесценции</w:t>
      </w:r>
      <w:r w:rsidR="00C34D94" w:rsidRPr="00B50636">
        <w:rPr>
          <w:i w:val="0"/>
          <w:color w:val="000000" w:themeColor="text1"/>
          <w:sz w:val="24"/>
          <w:szCs w:val="24"/>
        </w:rPr>
        <w:t>.</w:t>
      </w:r>
    </w:p>
    <w:p w14:paraId="768466EE" w14:textId="1587F275" w:rsidR="00360254" w:rsidRDefault="00360254" w:rsidP="00304696">
      <w:pPr>
        <w:spacing w:after="120"/>
        <w:jc w:val="center"/>
        <w:rPr>
          <w:b/>
          <w:bCs/>
        </w:rPr>
      </w:pPr>
      <w:r w:rsidRPr="00360254">
        <w:rPr>
          <w:b/>
          <w:bCs/>
        </w:rPr>
        <w:t>Литература</w:t>
      </w:r>
    </w:p>
    <w:p w14:paraId="4617FB5A" w14:textId="59725917" w:rsidR="00360254" w:rsidRPr="00296643" w:rsidRDefault="00304696" w:rsidP="00304696">
      <w:pPr>
        <w:pStyle w:val="a5"/>
        <w:numPr>
          <w:ilvl w:val="0"/>
          <w:numId w:val="4"/>
        </w:numPr>
        <w:ind w:left="0" w:firstLine="360"/>
        <w:rPr>
          <w:color w:val="000000"/>
          <w:lang w:val="en-US"/>
        </w:rPr>
      </w:pPr>
      <w:r w:rsidRPr="00296643">
        <w:rPr>
          <w:color w:val="000000"/>
          <w:lang w:val="en-US"/>
        </w:rPr>
        <w:t>Andrew D. McNaughton, Rajendra P. Joshi, Carter R. Knutson, Anubhav Fnu, Kevin J. Luebke, Jeremiah P. Malerich, Peter B. Madrid, and Neeraj Kumar</w:t>
      </w:r>
      <w:r w:rsidRPr="00296643">
        <w:rPr>
          <w:color w:val="000000"/>
          <w:lang w:val="en-US"/>
        </w:rPr>
        <w:t xml:space="preserve">, </w:t>
      </w:r>
      <w:r w:rsidRPr="00296643">
        <w:rPr>
          <w:rStyle w:val="HTML"/>
          <w:i w:val="0"/>
          <w:iCs w:val="0"/>
          <w:color w:val="000000"/>
          <w:lang w:val="en-US"/>
        </w:rPr>
        <w:t>Journal of Chemical Information and Modeling</w:t>
      </w:r>
      <w:r w:rsidRPr="00296643">
        <w:rPr>
          <w:rStyle w:val="apple-converted-space"/>
          <w:i/>
          <w:iCs/>
          <w:color w:val="000000"/>
          <w:lang w:val="en-US"/>
        </w:rPr>
        <w:t xml:space="preserve"> </w:t>
      </w:r>
      <w:r w:rsidRPr="00296643">
        <w:rPr>
          <w:rStyle w:val="ac"/>
          <w:b w:val="0"/>
          <w:bCs w:val="0"/>
          <w:color w:val="000000"/>
          <w:lang w:val="en-US"/>
        </w:rPr>
        <w:t>2023</w:t>
      </w:r>
      <w:r w:rsidR="00A807DF">
        <w:rPr>
          <w:rStyle w:val="ac"/>
          <w:b w:val="0"/>
          <w:bCs w:val="0"/>
          <w:color w:val="000000"/>
          <w:lang w:val="en-US"/>
        </w:rPr>
        <w:t>,</w:t>
      </w:r>
      <w:r w:rsidRPr="00296643">
        <w:rPr>
          <w:rStyle w:val="apple-converted-space"/>
          <w:b/>
          <w:bCs/>
          <w:color w:val="000000"/>
          <w:lang w:val="en-US"/>
        </w:rPr>
        <w:t xml:space="preserve"> </w:t>
      </w:r>
      <w:r w:rsidRPr="00296643">
        <w:rPr>
          <w:rStyle w:val="ad"/>
          <w:i w:val="0"/>
          <w:iCs w:val="0"/>
          <w:color w:val="000000"/>
          <w:lang w:val="en-US"/>
        </w:rPr>
        <w:t>63</w:t>
      </w:r>
      <w:r w:rsidRPr="00296643">
        <w:rPr>
          <w:rStyle w:val="apple-converted-space"/>
          <w:color w:val="000000"/>
          <w:lang w:val="en-US"/>
        </w:rPr>
        <w:t xml:space="preserve"> </w:t>
      </w:r>
      <w:r w:rsidRPr="00296643">
        <w:rPr>
          <w:color w:val="000000"/>
          <w:lang w:val="en-US"/>
        </w:rPr>
        <w:t>(5), 1462-1471</w:t>
      </w:r>
    </w:p>
    <w:sectPr w:rsidR="00360254" w:rsidRPr="0029664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41C"/>
    <w:multiLevelType w:val="hybridMultilevel"/>
    <w:tmpl w:val="55785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036B90"/>
    <w:multiLevelType w:val="hybridMultilevel"/>
    <w:tmpl w:val="0F7A2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620543">
    <w:abstractNumId w:val="1"/>
  </w:num>
  <w:num w:numId="2" w16cid:durableId="1854221644">
    <w:abstractNumId w:val="3"/>
  </w:num>
  <w:num w:numId="3" w16cid:durableId="1027948915">
    <w:abstractNumId w:val="2"/>
  </w:num>
  <w:num w:numId="4" w16cid:durableId="100860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4F68"/>
    <w:rsid w:val="00101A1C"/>
    <w:rsid w:val="00103657"/>
    <w:rsid w:val="00106375"/>
    <w:rsid w:val="00116478"/>
    <w:rsid w:val="00130241"/>
    <w:rsid w:val="001501E9"/>
    <w:rsid w:val="0017071A"/>
    <w:rsid w:val="001739E9"/>
    <w:rsid w:val="001E61C2"/>
    <w:rsid w:val="001F0493"/>
    <w:rsid w:val="002264EE"/>
    <w:rsid w:val="0023307C"/>
    <w:rsid w:val="00296643"/>
    <w:rsid w:val="002C23FA"/>
    <w:rsid w:val="002E6F56"/>
    <w:rsid w:val="00304696"/>
    <w:rsid w:val="0031361E"/>
    <w:rsid w:val="003248A4"/>
    <w:rsid w:val="00360254"/>
    <w:rsid w:val="00370713"/>
    <w:rsid w:val="00391C38"/>
    <w:rsid w:val="003B76D6"/>
    <w:rsid w:val="00405649"/>
    <w:rsid w:val="00490C63"/>
    <w:rsid w:val="004A26A3"/>
    <w:rsid w:val="004C5525"/>
    <w:rsid w:val="004D49E5"/>
    <w:rsid w:val="004F0EDF"/>
    <w:rsid w:val="005002AE"/>
    <w:rsid w:val="00522BF1"/>
    <w:rsid w:val="00590166"/>
    <w:rsid w:val="005D022B"/>
    <w:rsid w:val="005E5BE9"/>
    <w:rsid w:val="00693324"/>
    <w:rsid w:val="0069427D"/>
    <w:rsid w:val="006F7A19"/>
    <w:rsid w:val="007213E1"/>
    <w:rsid w:val="00763005"/>
    <w:rsid w:val="00775389"/>
    <w:rsid w:val="00797838"/>
    <w:rsid w:val="007C36D8"/>
    <w:rsid w:val="007F2744"/>
    <w:rsid w:val="008931BE"/>
    <w:rsid w:val="008C67E3"/>
    <w:rsid w:val="00921D45"/>
    <w:rsid w:val="00942A2E"/>
    <w:rsid w:val="00991CD4"/>
    <w:rsid w:val="009A2878"/>
    <w:rsid w:val="009A66DB"/>
    <w:rsid w:val="009B2F80"/>
    <w:rsid w:val="009B3300"/>
    <w:rsid w:val="009F3380"/>
    <w:rsid w:val="00A02163"/>
    <w:rsid w:val="00A314FE"/>
    <w:rsid w:val="00A807DF"/>
    <w:rsid w:val="00A9049B"/>
    <w:rsid w:val="00AC05BA"/>
    <w:rsid w:val="00B050E1"/>
    <w:rsid w:val="00B50636"/>
    <w:rsid w:val="00B670DC"/>
    <w:rsid w:val="00BF36F8"/>
    <w:rsid w:val="00BF4622"/>
    <w:rsid w:val="00C34D94"/>
    <w:rsid w:val="00C616BF"/>
    <w:rsid w:val="00C6498C"/>
    <w:rsid w:val="00CB2739"/>
    <w:rsid w:val="00CD00B1"/>
    <w:rsid w:val="00D22306"/>
    <w:rsid w:val="00D42542"/>
    <w:rsid w:val="00D8121C"/>
    <w:rsid w:val="00D81681"/>
    <w:rsid w:val="00DA6005"/>
    <w:rsid w:val="00E22189"/>
    <w:rsid w:val="00E74069"/>
    <w:rsid w:val="00EB1F49"/>
    <w:rsid w:val="00EB4385"/>
    <w:rsid w:val="00EF69A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C34D94"/>
    <w:pPr>
      <w:spacing w:after="200"/>
    </w:pPr>
    <w:rPr>
      <w:i/>
      <w:iCs/>
      <w:color w:val="1F497D" w:themeColor="text2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1739E9"/>
    <w:pPr>
      <w:spacing w:before="100" w:beforeAutospacing="1" w:after="100" w:afterAutospacing="1"/>
    </w:pPr>
  </w:style>
  <w:style w:type="character" w:styleId="HTML">
    <w:name w:val="HTML Cite"/>
    <w:basedOn w:val="a0"/>
    <w:uiPriority w:val="99"/>
    <w:semiHidden/>
    <w:unhideWhenUsed/>
    <w:rsid w:val="00304696"/>
    <w:rPr>
      <w:i/>
      <w:iCs/>
    </w:rPr>
  </w:style>
  <w:style w:type="character" w:customStyle="1" w:styleId="apple-converted-space">
    <w:name w:val="apple-converted-space"/>
    <w:basedOn w:val="a0"/>
    <w:rsid w:val="00304696"/>
  </w:style>
  <w:style w:type="character" w:styleId="ac">
    <w:name w:val="Strong"/>
    <w:basedOn w:val="a0"/>
    <w:uiPriority w:val="22"/>
    <w:qFormat/>
    <w:rsid w:val="00304696"/>
    <w:rPr>
      <w:b/>
      <w:bCs/>
    </w:rPr>
  </w:style>
  <w:style w:type="character" w:styleId="ad">
    <w:name w:val="Emphasis"/>
    <w:basedOn w:val="a0"/>
    <w:uiPriority w:val="20"/>
    <w:qFormat/>
    <w:rsid w:val="003046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7A510A-599F-4CF3-917F-D4CA3B6E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Егор Ильин Александрович</dc:creator>
  <cp:lastModifiedBy>Egor Ilin</cp:lastModifiedBy>
  <cp:revision>2</cp:revision>
  <cp:lastPrinted>2024-04-30T19:10:00Z</cp:lastPrinted>
  <dcterms:created xsi:type="dcterms:W3CDTF">2026-03-01T14:51:00Z</dcterms:created>
  <dcterms:modified xsi:type="dcterms:W3CDTF">2026-03-01T14:51:00Z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