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65542" w:rsidRPr="00CD0FE4" w:rsidRDefault="006455D8" w:rsidP="00CD0FE4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Применение </w:t>
      </w:r>
      <w:proofErr w:type="spellStart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>трансформерных</w:t>
      </w:r>
      <w:proofErr w:type="spellEnd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архитектур и вариационного </w:t>
      </w:r>
      <w:proofErr w:type="spellStart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>автокодировщика</w:t>
      </w:r>
      <w:proofErr w:type="spellEnd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подкреплением для </w:t>
      </w:r>
      <w:proofErr w:type="spellStart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proofErr w:type="spellEnd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>novo</w:t>
      </w:r>
      <w:proofErr w:type="spellEnd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дизайна ингибиторов металло-бета-</w:t>
      </w:r>
      <w:proofErr w:type="spellStart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>лактамазы</w:t>
      </w:r>
      <w:proofErr w:type="spellEnd"/>
      <w:r w:rsidRPr="00CD0F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NDM-1</w:t>
      </w:r>
    </w:p>
    <w:p w14:paraId="00000002" w14:textId="77777777" w:rsidR="00E65542" w:rsidRPr="00CD0FE4" w:rsidRDefault="006455D8" w:rsidP="00CD0FE4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 w:rsidRPr="00CD0F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Буров </w:t>
      </w:r>
      <w:proofErr w:type="gramStart"/>
      <w:r w:rsidRPr="00CD0F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И.А.</w:t>
      </w:r>
      <w:proofErr w:type="gramEnd"/>
      <w:r w:rsidRPr="00CD0F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</w:rPr>
        <w:t>1</w:t>
      </w:r>
      <w:r w:rsidRPr="00CD0F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Холманских Д.Д.</w:t>
      </w:r>
      <w:r w:rsidRPr="00CD0F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</w:rPr>
        <w:t>1,2</w:t>
      </w:r>
      <w:r w:rsidRPr="00CD0F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Шнайдер М.Ю.</w:t>
      </w:r>
      <w:r w:rsidRPr="00CD0F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</w:rPr>
        <w:t>1</w:t>
      </w:r>
      <w:r w:rsidRPr="00CD0F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Хренова М.Г.</w:t>
      </w:r>
      <w:r w:rsidRPr="00CD0F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</w:rPr>
        <w:t>1,3</w:t>
      </w:r>
    </w:p>
    <w:p w14:paraId="00000003" w14:textId="77777777" w:rsidR="00E65542" w:rsidRPr="00CD0FE4" w:rsidRDefault="006455D8" w:rsidP="00CD0FE4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</w:pPr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Студент, 5 курс специалитета</w:t>
      </w:r>
    </w:p>
    <w:p w14:paraId="00000004" w14:textId="77777777" w:rsidR="00E65542" w:rsidRPr="00CD0FE4" w:rsidRDefault="006455D8" w:rsidP="00CD0FE4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МГУ имени </w:t>
      </w:r>
      <w:proofErr w:type="gramStart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>М.В.</w:t>
      </w:r>
      <w:proofErr w:type="gramEnd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Ломоносова, химический факультет, Москва, Россия</w:t>
      </w:r>
    </w:p>
    <w:p w14:paraId="00000005" w14:textId="77777777" w:rsidR="00E65542" w:rsidRPr="00CD0FE4" w:rsidRDefault="006455D8" w:rsidP="00CD0FE4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ИБХФ имени Н.М. </w:t>
      </w:r>
      <w:proofErr w:type="spellStart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>Эмануэля</w:t>
      </w:r>
      <w:proofErr w:type="spellEnd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РАН, Москва, Россия</w:t>
      </w:r>
    </w:p>
    <w:p w14:paraId="00000006" w14:textId="2B25CC85" w:rsidR="00E65542" w:rsidRPr="00CD0FE4" w:rsidRDefault="006455D8" w:rsidP="00CD0FE4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vertAlign w:val="superscript"/>
        </w:rPr>
        <w:t>3</w:t>
      </w:r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ИНБИ имени </w:t>
      </w:r>
      <w:proofErr w:type="gramStart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А.Н.</w:t>
      </w:r>
      <w:proofErr w:type="gramEnd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Баха РАН, Москва, Россия</w:t>
      </w:r>
    </w:p>
    <w:p w14:paraId="00000007" w14:textId="77777777" w:rsidR="00E65542" w:rsidRPr="00CD0FE4" w:rsidRDefault="006455D8" w:rsidP="00CD0FE4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</w:pPr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>E-mail: lokofanko2@yandex.ru</w:t>
      </w:r>
    </w:p>
    <w:p w14:paraId="00000008" w14:textId="01BAB40B" w:rsidR="00E65542" w:rsidRPr="00CD0FE4" w:rsidRDefault="006455D8" w:rsidP="00CD0FE4">
      <w:pPr>
        <w:shd w:val="clear" w:color="auto" w:fill="FFFFFF"/>
        <w:spacing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FE4">
        <w:rPr>
          <w:rFonts w:ascii="Times New Roman" w:eastAsia="Times New Roman" w:hAnsi="Times New Roman" w:cs="Times New Roman"/>
          <w:sz w:val="24"/>
          <w:szCs w:val="24"/>
        </w:rPr>
        <w:t>Распространение металло-бета-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лактамаз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, в частности фермента NDM-1 (New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Delhi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0FE4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etallo-beta-lactamase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>), является актуальной проблемой, снижающей эффективность классических бета-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лактамных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антибиотиков против грамотрицательных бактерий, например </w:t>
      </w:r>
      <w:proofErr w:type="spellStart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>Klebsiella</w:t>
      </w:r>
      <w:proofErr w:type="spellEnd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>pneumoniae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>Escherichia</w:t>
      </w:r>
      <w:proofErr w:type="spellEnd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D0FE4">
        <w:rPr>
          <w:rFonts w:ascii="Times New Roman" w:eastAsia="Times New Roman" w:hAnsi="Times New Roman" w:cs="Times New Roman"/>
          <w:i/>
          <w:iCs/>
          <w:sz w:val="24"/>
          <w:szCs w:val="24"/>
        </w:rPr>
        <w:t>coli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. Это обусловливает необходимость разработки новых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нековалентных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ингибиторов, способных координировать оба иона цинка активного центра фермента. </w:t>
      </w:r>
      <w:r w:rsidR="004B6B35" w:rsidRPr="004B6B35">
        <w:rPr>
          <w:rFonts w:ascii="Times New Roman" w:eastAsia="Times New Roman" w:hAnsi="Times New Roman" w:cs="Times New Roman"/>
          <w:sz w:val="24"/>
          <w:szCs w:val="24"/>
        </w:rPr>
        <w:t>Для направленного поиска таких молекул в работе предложен комплексный вычислительный подход на основе методов машинного обучения.</w:t>
      </w:r>
    </w:p>
    <w:p w14:paraId="00000009" w14:textId="7A1A68FA" w:rsidR="00E65542" w:rsidRPr="00CD0FE4" w:rsidRDefault="006455D8" w:rsidP="00CD0FE4">
      <w:pPr>
        <w:shd w:val="clear" w:color="auto" w:fill="FFFFFF"/>
        <w:spacing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FE4">
        <w:rPr>
          <w:rFonts w:ascii="Times New Roman" w:eastAsia="Times New Roman" w:hAnsi="Times New Roman" w:cs="Times New Roman"/>
          <w:sz w:val="24"/>
          <w:szCs w:val="24"/>
        </w:rPr>
        <w:t>Для оценки ингибиторной активности (pIC</w:t>
      </w:r>
      <w:r w:rsidRPr="001234CE">
        <w:rPr>
          <w:rFonts w:ascii="Times New Roman" w:eastAsia="Times New Roman" w:hAnsi="Times New Roman" w:cs="Times New Roman"/>
          <w:sz w:val="24"/>
          <w:szCs w:val="24"/>
          <w:vertAlign w:val="subscript"/>
        </w:rPr>
        <w:t>50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) применялась мультимодальная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нейросетевая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архитектура, обученная на </w:t>
      </w:r>
      <w:r w:rsidR="004B6B35">
        <w:rPr>
          <w:rFonts w:ascii="Times New Roman" w:eastAsia="Times New Roman" w:hAnsi="Times New Roman" w:cs="Times New Roman"/>
          <w:sz w:val="24"/>
          <w:szCs w:val="24"/>
          <w:lang w:val="ru-RU"/>
        </w:rPr>
        <w:t>отфильтрованной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выборке из базы данных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ChEMBL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B6B35">
        <w:rPr>
          <w:rFonts w:ascii="Times New Roman" w:eastAsia="Times New Roman" w:hAnsi="Times New Roman" w:cs="Times New Roman"/>
          <w:sz w:val="24"/>
          <w:szCs w:val="24"/>
          <w:lang w:val="ru-RU"/>
        </w:rPr>
        <w:t>Модель формирует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векторные представления малых молекул с помощью языковой модели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ChemBERTa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, а аминокислотных последовательностей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белк</w:t>
      </w:r>
      <w:r w:rsidR="004B6B35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мишен</w:t>
      </w:r>
      <w:proofErr w:type="spellEnd"/>
      <w:r w:rsidR="004B6B35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— через модель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ProtBERT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>. Полученные векторные представления объединяются и обрабатываются многослойным перцептроном для регрессионного предсказания pIC</w:t>
      </w:r>
      <w:r w:rsidRPr="001234CE">
        <w:rPr>
          <w:rFonts w:ascii="Times New Roman" w:eastAsia="Times New Roman" w:hAnsi="Times New Roman" w:cs="Times New Roman"/>
          <w:sz w:val="24"/>
          <w:szCs w:val="24"/>
          <w:vertAlign w:val="subscript"/>
        </w:rPr>
        <w:t>50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как прокси-метрики аффинности связывания.</w:t>
      </w:r>
    </w:p>
    <w:p w14:paraId="0000000A" w14:textId="5C24EA4D" w:rsidR="00E65542" w:rsidRPr="00CD0FE4" w:rsidRDefault="006455D8" w:rsidP="00CD0FE4">
      <w:pPr>
        <w:shd w:val="clear" w:color="auto" w:fill="FFFFFF"/>
        <w:spacing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Генерация структур осуществлялась </w:t>
      </w:r>
      <w:r w:rsidR="00445E17">
        <w:rPr>
          <w:rFonts w:ascii="Times New Roman" w:eastAsia="Times New Roman" w:hAnsi="Times New Roman" w:cs="Times New Roman"/>
          <w:sz w:val="24"/>
          <w:szCs w:val="24"/>
          <w:lang w:val="ru-RU"/>
        </w:rPr>
        <w:t>с использованием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вариационного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автокодировщика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, предварительно обученного на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базе данных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лекарственноподобных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молекул MOSES. Для направленного поиска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высокоаффинных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малых молекул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применялось обучение с подкреплением. В качестве функции награды для генератора выступали значения pIC</w:t>
      </w:r>
      <w:r w:rsidRPr="001234CE">
        <w:rPr>
          <w:rFonts w:ascii="Times New Roman" w:eastAsia="Times New Roman" w:hAnsi="Times New Roman" w:cs="Times New Roman"/>
          <w:sz w:val="24"/>
          <w:szCs w:val="24"/>
          <w:vertAlign w:val="subscript"/>
        </w:rPr>
        <w:t>50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, предсказанные мультимодальным предиктором. Целевая оптимизация реализовывалась через взвешенную функцию потерь: модель максимизировала вероятность генерации лучших структур текущего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батча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(стратегия Hill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Climbing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>) при одновременной регуляризации на выборке известных ингибиторов NDM-1. Это позволило сместить латентное пространство в сторону высокой предсказанной активности без потери химической валидности генерируемых соединений.</w:t>
      </w:r>
    </w:p>
    <w:p w14:paraId="1AB396D5" w14:textId="6AB88A34" w:rsidR="00FF1174" w:rsidRPr="00FF1174" w:rsidRDefault="006455D8" w:rsidP="00FF1174">
      <w:pPr>
        <w:shd w:val="clear" w:color="auto" w:fill="FFFFFF"/>
        <w:spacing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FE4">
        <w:rPr>
          <w:rFonts w:ascii="Times New Roman" w:eastAsia="Times New Roman" w:hAnsi="Times New Roman" w:cs="Times New Roman"/>
          <w:sz w:val="24"/>
          <w:szCs w:val="24"/>
        </w:rPr>
        <w:t>В ходе генерации был найден новый потенциальный ингибитор</w:t>
      </w:r>
      <w:r w:rsidR="00445E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45E17" w:rsidRPr="00445E17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6996" w:rsidRPr="00B86996">
        <w:rPr>
          <w:rFonts w:ascii="Times New Roman" w:eastAsia="Times New Roman" w:hAnsi="Times New Roman" w:cs="Times New Roman"/>
          <w:sz w:val="24"/>
          <w:szCs w:val="24"/>
        </w:rPr>
        <w:t>4-(2-циклопропилфенил)-6-(метилсульфанил)-3-(1H-тетразол-5-</w:t>
      </w:r>
      <w:proofErr w:type="gramStart"/>
      <w:r w:rsidR="00B86996" w:rsidRPr="00B86996">
        <w:rPr>
          <w:rFonts w:ascii="Times New Roman" w:eastAsia="Times New Roman" w:hAnsi="Times New Roman" w:cs="Times New Roman"/>
          <w:sz w:val="24"/>
          <w:szCs w:val="24"/>
        </w:rPr>
        <w:t>ил)пиридин</w:t>
      </w:r>
      <w:proofErr w:type="gramEnd"/>
      <w:r w:rsidR="00B86996" w:rsidRPr="00B86996">
        <w:rPr>
          <w:rFonts w:ascii="Times New Roman" w:eastAsia="Times New Roman" w:hAnsi="Times New Roman" w:cs="Times New Roman"/>
          <w:sz w:val="24"/>
          <w:szCs w:val="24"/>
        </w:rPr>
        <w:t>-2(1H)-он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1174" w:rsidRPr="00FF1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>Для оценки стабильности связывания цинка в активном центре в качестве референса был использован существующий ингибитор NDM-1</w:t>
      </w:r>
      <w:r w:rsidR="00445E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45E17" w:rsidRPr="00445E17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>4'-метил-2-(</w:t>
      </w:r>
      <w:r w:rsidR="004B6B35" w:rsidRPr="004B6B3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>H-тетразол-5-</w:t>
      </w:r>
      <w:proofErr w:type="gramStart"/>
      <w:r w:rsidRPr="00CD0FE4">
        <w:rPr>
          <w:rFonts w:ascii="Times New Roman" w:eastAsia="Times New Roman" w:hAnsi="Times New Roman" w:cs="Times New Roman"/>
          <w:sz w:val="24"/>
          <w:szCs w:val="24"/>
        </w:rPr>
        <w:t>ил)[</w:t>
      </w:r>
      <w:proofErr w:type="gram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1,1'-бифенил]-3-сульфонамид. Ключевой особенностью предложенной структуры стала замена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сульфонамида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пиридон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. Это сохранило заряд </w:t>
      </w:r>
      <w:r w:rsidR="00445E17" w:rsidRPr="00445E1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1, но устранило необходимость </w:t>
      </w:r>
      <w:proofErr w:type="spellStart"/>
      <w:r w:rsidRPr="006455D8">
        <w:rPr>
          <w:rFonts w:ascii="Times New Roman" w:eastAsia="Times New Roman" w:hAnsi="Times New Roman" w:cs="Times New Roman"/>
          <w:i/>
          <w:iCs/>
          <w:sz w:val="24"/>
          <w:szCs w:val="24"/>
        </w:rPr>
        <w:t>in</w:t>
      </w:r>
      <w:proofErr w:type="spellEnd"/>
      <w:r w:rsidRPr="006455D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55D8">
        <w:rPr>
          <w:rFonts w:ascii="Times New Roman" w:eastAsia="Times New Roman" w:hAnsi="Times New Roman" w:cs="Times New Roman"/>
          <w:i/>
          <w:iCs/>
          <w:sz w:val="24"/>
          <w:szCs w:val="24"/>
        </w:rPr>
        <w:t>situ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депротонирования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сульфонамидной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группы для координации иона цинка. Сравнение стабильности связывания молекул проводилось путем 300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нс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молекулярно-динамического моделирования с классическими потенциалами. Анализ траекторий </w:t>
      </w:r>
      <w:r w:rsidR="00445E17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показал</w:t>
      </w:r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, что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пиридоновый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кислород координирует ион цинка непрерывно и стабильно, как и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депротонированный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сульфонамид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референсной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молекулы. При этом сопоставление значений RMSD и SASA подтверждает сегментированную подвижность: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фармакофор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предложенного соединения жестко зафиксирован на ионах цинка, однако его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остовные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фрагменты сохраняют </w:t>
      </w:r>
      <w:proofErr w:type="spellStart"/>
      <w:r w:rsidRPr="00CD0FE4">
        <w:rPr>
          <w:rFonts w:ascii="Times New Roman" w:eastAsia="Times New Roman" w:hAnsi="Times New Roman" w:cs="Times New Roman"/>
          <w:sz w:val="24"/>
          <w:szCs w:val="24"/>
        </w:rPr>
        <w:t>бóльшую</w:t>
      </w:r>
      <w:proofErr w:type="spellEnd"/>
      <w:r w:rsidRPr="00CD0FE4">
        <w:rPr>
          <w:rFonts w:ascii="Times New Roman" w:eastAsia="Times New Roman" w:hAnsi="Times New Roman" w:cs="Times New Roman"/>
          <w:sz w:val="24"/>
          <w:szCs w:val="24"/>
        </w:rPr>
        <w:t xml:space="preserve"> конформационную свободу для адаптации в сайте связывания.</w:t>
      </w:r>
    </w:p>
    <w:sectPr w:rsidR="00FF1174" w:rsidRPr="00FF1174" w:rsidSect="00CD0FE4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9AB99CB-E63F-4C63-9E6D-EC81CDF1BA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50C8B09-A982-4987-A366-FC045AB618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542"/>
    <w:rsid w:val="001234CE"/>
    <w:rsid w:val="00445E17"/>
    <w:rsid w:val="004B6B35"/>
    <w:rsid w:val="006455D8"/>
    <w:rsid w:val="008C63FC"/>
    <w:rsid w:val="00B86996"/>
    <w:rsid w:val="00CD0FE4"/>
    <w:rsid w:val="00E65542"/>
    <w:rsid w:val="00FF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03C8B"/>
  <w15:docId w15:val="{CAE4B92F-D83B-4190-97FC-B650D5A8B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Данил Данил</cp:lastModifiedBy>
  <cp:revision>6</cp:revision>
  <dcterms:created xsi:type="dcterms:W3CDTF">2026-02-28T13:27:00Z</dcterms:created>
  <dcterms:modified xsi:type="dcterms:W3CDTF">2026-02-28T14:05:00Z</dcterms:modified>
</cp:coreProperties>
</file>