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Проектирование стратегий неорганического синтеза с помощью генеративных моделей, дополненных механизмами извлечения знаний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Горбунова А.А., Разливина Ю.С., Серов Н.С.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Студент, 2 курс магистратуры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i w:val="1"/>
          <w:iCs w:val="1"/>
          <w:vertAlign w:val="superscript"/>
        </w:rPr>
      </w:pPr>
      <w:r w:rsidDel="00000000" w:rsidR="00000000" w:rsidRPr="00000000">
        <w:rPr>
          <w:i w:val="1"/>
          <w:iCs w:val="1"/>
          <w:rtl w:val="0"/>
        </w:rPr>
        <w:t xml:space="preserve">Университет ИТМО, центр искусственного интеллекта в химии, Санкт-Петербург,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E-mail: </w:t>
      </w:r>
      <w:hyperlink r:id="rId6">
        <w:r w:rsidDel="00000000" w:rsidR="00000000" w:rsidRPr="00000000">
          <w:rPr>
            <w:i w:val="1"/>
            <w:iCs w:val="1"/>
            <w:color w:val="0000ee"/>
            <w:u w:val="single"/>
            <w:rtl w:val="0"/>
          </w:rPr>
          <w:t xml:space="preserve">gorbunova@scamt-itmo.ru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последние годы большие языковые модели (LLM) демонстрируют значительный потенциал в поддержке планирования неорганического синтеза [1, 2]. Однако их практическое применение сдерживается двумя факторами: ограниченным числом комплексных решений, способных выдавать воспроизводимые пошаговые протоколы синтеза, и недостатком стандартизированных методов оценки качества генерируемых маршрутов [3].</w:t>
      </w:r>
    </w:p>
    <w:p w:rsidR="00000000" w:rsidDel="00000000" w:rsidP="00000000" w:rsidRDefault="00000000" w:rsidRPr="00000000" w14:paraId="00000007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данной работе предложен подход </w:t>
      </w:r>
      <w:r w:rsidDel="00000000" w:rsidR="00000000" w:rsidRPr="00000000">
        <w:rPr>
          <w:rtl w:val="0"/>
        </w:rPr>
        <w:t xml:space="preserve">SynthWay</w:t>
      </w:r>
      <w:r w:rsidDel="00000000" w:rsidR="00000000" w:rsidRPr="00000000">
        <w:rPr>
          <w:rtl w:val="0"/>
        </w:rPr>
        <w:t xml:space="preserve"> – генеративный пайплайн для проектирования маршрутов неорганического синтеза, усиленный механизмом извлечения знаний из базы, включающей 4138 литературных протоколов</w:t>
      </w:r>
      <w:r w:rsidDel="00000000" w:rsidR="00000000" w:rsidRPr="00000000">
        <w:rPr>
          <w:rtl w:val="0"/>
        </w:rPr>
        <w:t xml:space="preserve">, представленных в унифицированном формате: структурированное описание ключевых параметров (состав, метод, реагенты, условия, характеристики материала) и </w:t>
      </w:r>
      <w:r w:rsidDel="00000000" w:rsidR="00000000" w:rsidRPr="00000000">
        <w:rPr>
          <w:color w:val="0e0e0e"/>
          <w:rtl w:val="0"/>
        </w:rPr>
        <w:t xml:space="preserve">линеаризованное текстовое представление </w:t>
      </w:r>
      <w:r w:rsidDel="00000000" w:rsidR="00000000" w:rsidRPr="00000000">
        <w:rPr>
          <w:rtl w:val="0"/>
        </w:rPr>
        <w:t xml:space="preserve">для поиска. Дополнительно система включает LLM-оценщики, </w:t>
      </w:r>
      <w:r w:rsidDel="00000000" w:rsidR="00000000" w:rsidRPr="00000000">
        <w:rPr>
          <w:rtl w:val="0"/>
        </w:rPr>
        <w:t xml:space="preserve">анализирующие</w:t>
      </w:r>
      <w:r w:rsidDel="00000000" w:rsidR="00000000" w:rsidRPr="00000000">
        <w:rPr>
          <w:rtl w:val="0"/>
        </w:rPr>
        <w:t xml:space="preserve"> химическую корректность и согласованность предложенного маршрута, а также модуль итеративной доработки маршрута на основе обратной связи.</w:t>
      </w:r>
    </w:p>
    <w:p w:rsidR="00000000" w:rsidDel="00000000" w:rsidP="00000000" w:rsidRDefault="00000000" w:rsidRPr="00000000" w14:paraId="00000008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Качество сгенерированных маршрутов оценивалось по </w:t>
      </w:r>
      <w:r w:rsidDel="00000000" w:rsidR="00000000" w:rsidRPr="00000000">
        <w:rPr>
          <w:rtl w:val="0"/>
        </w:rPr>
        <w:t xml:space="preserve">метрик</w:t>
      </w:r>
      <w:r w:rsidDel="00000000" w:rsidR="00000000" w:rsidRPr="00000000">
        <w:rPr>
          <w:rtl w:val="0"/>
        </w:rPr>
        <w:t xml:space="preserve">ам </w:t>
      </w:r>
      <w:r w:rsidDel="00000000" w:rsidR="00000000" w:rsidRPr="00000000">
        <w:rPr>
          <w:rtl w:val="0"/>
        </w:rPr>
        <w:t xml:space="preserve">химической состоятельности (корректности и согласованности), релевантности ответа и достоверности по отношению к извлеченным протоколам с использованием LLM в роли судьи. </w:t>
      </w:r>
      <w:r w:rsidDel="00000000" w:rsidR="00000000" w:rsidRPr="00000000">
        <w:rPr>
          <w:rtl w:val="0"/>
        </w:rPr>
        <w:t xml:space="preserve">Результаты показывают, что данный подход позволяет создавать химически состоятельные протоколы, однако итоговая результативность определяется выбором модели, при этом для большинства моделей различия в качестве в основном связаны со способностью сохранять привязку к извлеченным литературным протоколам.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Было проведено сравнение 12 моделей (6 открытых и 6 коммерческих LLM) и выявлен явный компромисс между качеством и вычислительными затратами. Среди коммерческих решений Gemini 3 Pro продемонстрировала наивысшую </w:t>
      </w:r>
      <w:r w:rsidDel="00000000" w:rsidR="00000000" w:rsidRPr="00000000">
        <w:rPr>
          <w:rtl w:val="0"/>
        </w:rPr>
        <w:t xml:space="preserve">химическую состоятельность (средний балл по разработанной метрике химической корректности и согласованности на стратифицированной выборке по шкале 0-1) - 0,927</w:t>
      </w:r>
      <w:r w:rsidDel="00000000" w:rsidR="00000000" w:rsidRPr="00000000">
        <w:rPr>
          <w:rtl w:val="0"/>
        </w:rPr>
        <w:t xml:space="preserve">. В то же время Gemini 2.0 Flash обеспечивает сравнительно высокую химическую состоятельность (0,914) при значительно более низкой стоимости, сохраняя при этом высокие показатели согласованности с протоколами. Среди моделей с открытыми весами Llama 4 Maverick показывает самый высокий показатель химической состоятельности - 0,913. Таким образом, выбор модели должен определяться целевым сценарием использования.</w:t>
      </w:r>
    </w:p>
    <w:p w:rsidR="00000000" w:rsidDel="00000000" w:rsidP="00000000" w:rsidRDefault="00000000" w:rsidRPr="00000000" w14:paraId="0000000A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Полученные результаты демонстрируют, что интеграция механизма извлечения знаний, генерации и автоматизированной оценки в рамках единого пайплайна позволяет эффективно решать задачу проектирования протоколов неорганического синтеза и может служить основой для интеллектуальных систем разработки новых материалов.</w:t>
      </w:r>
    </w:p>
    <w:p w:rsidR="00000000" w:rsidDel="00000000" w:rsidP="00000000" w:rsidRDefault="00000000" w:rsidRPr="00000000" w14:paraId="0000000B">
      <w:pPr>
        <w:shd w:fill="ffffff" w:val="clear"/>
        <w:ind w:firstLine="397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Работа выполнена в рамках программы Приоритет 2030.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Kim S., Jung Y., Schrier J. Large language models for inorganic synthesis predictions // J. Am. Chem. Soc. 2024. Vol. 146. No. 29. P. 19654-19659.</w:t>
      </w:r>
    </w:p>
    <w:p w:rsidR="00000000" w:rsidDel="00000000" w:rsidP="00000000" w:rsidRDefault="00000000" w:rsidRPr="00000000" w14:paraId="0000000E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Prein T. et al. Language models enable data-augmented synthesis planning for inorganic materials // ACS Appl. Mater. Interfaces. 2025. Vol. 17. No. 51. P. 69221-69233.</w:t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3. Genheden S., Bjerrum E. PaRoutes: towards a framework for benchmarking retrosynthesis route predictions // Digit. Discov. 2022. Vol. 1. No. 4. P. 527-539.</w:t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2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orbunova@scamt-itm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