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D2F8B" w14:textId="4B2B22B0" w:rsidR="00130241" w:rsidRDefault="00A10D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Перераспределение квантовых точек</w:t>
      </w:r>
      <w:r w:rsidR="00F851B5">
        <w:rPr>
          <w:b/>
          <w:color w:val="000000"/>
        </w:rPr>
        <w:t xml:space="preserve"> в жидкокристаллической матрице</w:t>
      </w:r>
      <w:r>
        <w:rPr>
          <w:b/>
          <w:color w:val="000000"/>
        </w:rPr>
        <w:t xml:space="preserve"> с помощью фотоиндуцированного перехода </w:t>
      </w:r>
      <w:r w:rsidRPr="00A10D0C">
        <w:rPr>
          <w:b/>
          <w:color w:val="000000"/>
        </w:rPr>
        <w:t>«</w:t>
      </w:r>
      <w:proofErr w:type="spellStart"/>
      <w:r>
        <w:rPr>
          <w:b/>
          <w:color w:val="000000"/>
        </w:rPr>
        <w:t>нематик-изотроп</w:t>
      </w:r>
      <w:proofErr w:type="spellEnd"/>
      <w:r w:rsidRPr="00A10D0C">
        <w:rPr>
          <w:b/>
          <w:color w:val="000000"/>
        </w:rPr>
        <w:t>»</w:t>
      </w:r>
    </w:p>
    <w:p w14:paraId="5189533C" w14:textId="77777777" w:rsidR="00F851B5" w:rsidRDefault="00F851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14:paraId="3A85AE61" w14:textId="3D7FB295" w:rsidR="00130241" w:rsidRDefault="00A10D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Бугаков С.Д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E27DAA"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Дериков</w:t>
      </w:r>
      <w:proofErr w:type="spellEnd"/>
      <w:r>
        <w:rPr>
          <w:b/>
          <w:i/>
          <w:color w:val="000000"/>
        </w:rPr>
        <w:t xml:space="preserve"> Я.И</w:t>
      </w:r>
      <w:r w:rsidR="00EB1F49">
        <w:rPr>
          <w:b/>
          <w:i/>
          <w:color w:val="000000"/>
        </w:rPr>
        <w:t>.</w:t>
      </w:r>
      <w:r w:rsidR="00E172CC">
        <w:rPr>
          <w:b/>
          <w:i/>
          <w:color w:val="000000"/>
          <w:vertAlign w:val="superscript"/>
        </w:rPr>
        <w:t>2</w:t>
      </w:r>
      <w:r w:rsidRPr="00A10D0C">
        <w:rPr>
          <w:b/>
          <w:i/>
          <w:color w:val="000000"/>
        </w:rPr>
        <w:t>, Карпов О.Н</w:t>
      </w:r>
      <w:r w:rsidR="00E27DAA">
        <w:rPr>
          <w:b/>
          <w:i/>
          <w:color w:val="000000"/>
        </w:rPr>
        <w:t>.</w:t>
      </w:r>
      <w:r w:rsidR="00E172CC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Шандрюк</w:t>
      </w:r>
      <w:proofErr w:type="spellEnd"/>
      <w:r>
        <w:rPr>
          <w:b/>
          <w:i/>
          <w:color w:val="000000"/>
        </w:rPr>
        <w:t xml:space="preserve"> Г</w:t>
      </w:r>
      <w:r w:rsidRPr="00A10D0C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E27DAA">
        <w:rPr>
          <w:b/>
          <w:i/>
          <w:color w:val="000000"/>
        </w:rPr>
        <w:t>.</w:t>
      </w:r>
      <w:r w:rsidR="00E172CC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Мер</w:t>
      </w:r>
      <w:r w:rsidR="00E172CC">
        <w:rPr>
          <w:b/>
          <w:i/>
          <w:color w:val="000000"/>
        </w:rPr>
        <w:t>е</w:t>
      </w:r>
      <w:r>
        <w:rPr>
          <w:b/>
          <w:i/>
          <w:color w:val="000000"/>
        </w:rPr>
        <w:t>калов</w:t>
      </w:r>
      <w:proofErr w:type="spellEnd"/>
      <w:r>
        <w:rPr>
          <w:b/>
          <w:i/>
          <w:color w:val="000000"/>
        </w:rPr>
        <w:t xml:space="preserve"> А.С.</w:t>
      </w:r>
      <w:r w:rsidR="00E27DAA" w:rsidRPr="00E27DAA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Тальрозе</w:t>
      </w:r>
      <w:proofErr w:type="spellEnd"/>
      <w:r>
        <w:rPr>
          <w:b/>
          <w:i/>
          <w:color w:val="000000"/>
        </w:rPr>
        <w:t xml:space="preserve"> Р.В</w:t>
      </w:r>
      <w:r w:rsidR="00E172CC">
        <w:rPr>
          <w:b/>
          <w:i/>
          <w:color w:val="000000"/>
        </w:rPr>
        <w:t>.</w:t>
      </w:r>
      <w:r w:rsidR="00E27DAA" w:rsidRPr="00E27DAA">
        <w:rPr>
          <w:b/>
          <w:i/>
          <w:color w:val="000000"/>
          <w:vertAlign w:val="superscript"/>
        </w:rPr>
        <w:t>2</w:t>
      </w:r>
    </w:p>
    <w:p w14:paraId="357F92A2" w14:textId="77777777" w:rsidR="00130241" w:rsidRDefault="004C1E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2</w:t>
      </w:r>
      <w:r w:rsidR="00EB1F49">
        <w:rPr>
          <w:i/>
          <w:color w:val="000000"/>
        </w:rPr>
        <w:t xml:space="preserve"> курс специалитета</w:t>
      </w:r>
    </w:p>
    <w:p w14:paraId="7A29310E" w14:textId="77777777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10D0C">
        <w:rPr>
          <w:i/>
          <w:color w:val="000000"/>
        </w:rPr>
        <w:t>ФФФХИ</w:t>
      </w:r>
      <w:r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14:paraId="194BEEFC" w14:textId="69B9EAAF" w:rsidR="00130241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2B1CD0" w:rsidRPr="002B1CD0">
        <w:rPr>
          <w:i/>
          <w:color w:val="000000"/>
        </w:rPr>
        <w:t xml:space="preserve">Институт </w:t>
      </w:r>
      <w:r w:rsidR="00A10D0C">
        <w:rPr>
          <w:i/>
          <w:color w:val="000000"/>
        </w:rPr>
        <w:t>нефтехимического синтеза им. А.В. Топчиева РАН, Москва</w:t>
      </w:r>
      <w:r w:rsidR="002B1CD0" w:rsidRPr="002B1CD0">
        <w:rPr>
          <w:i/>
          <w:color w:val="000000"/>
        </w:rPr>
        <w:t>, Россия</w:t>
      </w:r>
    </w:p>
    <w:p w14:paraId="7691DA29" w14:textId="77777777" w:rsidR="00130241" w:rsidRPr="00E27DA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E27DAA">
        <w:rPr>
          <w:i/>
          <w:color w:val="000000"/>
          <w:lang w:val="en-US"/>
        </w:rPr>
        <w:t>E</w:t>
      </w:r>
      <w:r w:rsidR="003B76D6" w:rsidRPr="00E27DAA">
        <w:rPr>
          <w:i/>
          <w:color w:val="000000"/>
          <w:lang w:val="en-US"/>
        </w:rPr>
        <w:t>-</w:t>
      </w:r>
      <w:r w:rsidRPr="00E27DAA">
        <w:rPr>
          <w:i/>
          <w:color w:val="000000"/>
          <w:lang w:val="en-US"/>
        </w:rPr>
        <w:t xml:space="preserve">mail: </w:t>
      </w:r>
      <w:r w:rsidR="00E27DAA">
        <w:rPr>
          <w:i/>
          <w:color w:val="000000"/>
          <w:u w:val="single"/>
          <w:lang w:val="en-US"/>
        </w:rPr>
        <w:t>semyon</w:t>
      </w:r>
      <w:r w:rsidR="00E27DAA" w:rsidRPr="00E27DAA">
        <w:rPr>
          <w:i/>
          <w:color w:val="000000"/>
          <w:u w:val="single"/>
          <w:lang w:val="en-US"/>
        </w:rPr>
        <w:t>.</w:t>
      </w:r>
      <w:r w:rsidR="00E27DAA">
        <w:rPr>
          <w:i/>
          <w:color w:val="000000"/>
          <w:u w:val="single"/>
          <w:lang w:val="en-US"/>
        </w:rPr>
        <w:t>bugakov</w:t>
      </w:r>
      <w:r w:rsidR="00E27DAA" w:rsidRPr="00E27DAA">
        <w:rPr>
          <w:i/>
          <w:color w:val="000000"/>
          <w:u w:val="single"/>
          <w:lang w:val="en-US"/>
        </w:rPr>
        <w:t>@</w:t>
      </w:r>
      <w:r w:rsidR="00E27DAA">
        <w:rPr>
          <w:i/>
          <w:color w:val="000000"/>
          <w:u w:val="single"/>
          <w:lang w:val="en-US"/>
        </w:rPr>
        <w:t>gmail</w:t>
      </w:r>
      <w:r w:rsidR="00E27DAA" w:rsidRPr="00E27DAA">
        <w:rPr>
          <w:i/>
          <w:color w:val="000000"/>
          <w:u w:val="single"/>
          <w:lang w:val="en-US"/>
        </w:rPr>
        <w:t>.</w:t>
      </w:r>
      <w:r w:rsidR="00E27DAA">
        <w:rPr>
          <w:i/>
          <w:color w:val="000000"/>
          <w:u w:val="single"/>
          <w:lang w:val="en-US"/>
        </w:rPr>
        <w:t>com</w:t>
      </w:r>
    </w:p>
    <w:p w14:paraId="546B4C75" w14:textId="77777777" w:rsidR="00876C8E" w:rsidRDefault="00190AA5" w:rsidP="00F550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последние годы активно</w:t>
      </w:r>
      <w:r w:rsidR="00BE0D07">
        <w:rPr>
          <w:color w:val="000000"/>
        </w:rPr>
        <w:t xml:space="preserve"> развиваются методы управления распределением наночастиц </w:t>
      </w:r>
      <w:r w:rsidR="009E4D01">
        <w:rPr>
          <w:color w:val="000000"/>
        </w:rPr>
        <w:t>(НЧ)</w:t>
      </w:r>
      <w:r>
        <w:rPr>
          <w:color w:val="000000"/>
        </w:rPr>
        <w:t>, позволяющие получать структуры с заданной геометрией. Одним из перспективных подходов является использ</w:t>
      </w:r>
      <w:r w:rsidR="001E5782">
        <w:rPr>
          <w:color w:val="000000"/>
        </w:rPr>
        <w:t>ование фоточувствительных жидкокристаллических (ЖК) композиций</w:t>
      </w:r>
      <w:r>
        <w:rPr>
          <w:color w:val="000000"/>
        </w:rPr>
        <w:t xml:space="preserve">, в которых свет индуцирует переход </w:t>
      </w:r>
      <w:r w:rsidR="00F30765">
        <w:rPr>
          <w:color w:val="000000"/>
        </w:rPr>
        <w:t>«ЖК</w:t>
      </w:r>
      <w:r w:rsidR="009E4D01">
        <w:rPr>
          <w:color w:val="000000"/>
        </w:rPr>
        <w:t>-</w:t>
      </w:r>
      <w:proofErr w:type="spellStart"/>
      <w:r w:rsidR="00F30765">
        <w:rPr>
          <w:color w:val="000000"/>
        </w:rPr>
        <w:t>изотроп</w:t>
      </w:r>
      <w:proofErr w:type="spellEnd"/>
      <w:r w:rsidR="009E4D01" w:rsidRPr="009E4D01">
        <w:rPr>
          <w:color w:val="000000"/>
        </w:rPr>
        <w:t>»</w:t>
      </w:r>
      <w:r w:rsidR="009E4D01">
        <w:rPr>
          <w:color w:val="000000"/>
        </w:rPr>
        <w:t xml:space="preserve"> и тем самым изменяет условия распределения диспергированных НЧ.</w:t>
      </w:r>
      <w:r w:rsidR="00F30765">
        <w:rPr>
          <w:color w:val="000000"/>
        </w:rPr>
        <w:t xml:space="preserve"> Такое распределение обусловлено наличием на поверхности наночастиц </w:t>
      </w:r>
      <w:proofErr w:type="spellStart"/>
      <w:r w:rsidR="00F30765">
        <w:rPr>
          <w:color w:val="000000"/>
        </w:rPr>
        <w:t>мезогенных</w:t>
      </w:r>
      <w:proofErr w:type="spellEnd"/>
      <w:r w:rsidR="00F30765">
        <w:rPr>
          <w:color w:val="000000"/>
        </w:rPr>
        <w:t xml:space="preserve"> </w:t>
      </w:r>
      <w:proofErr w:type="spellStart"/>
      <w:r w:rsidR="00F30765">
        <w:rPr>
          <w:color w:val="000000"/>
        </w:rPr>
        <w:t>терфенильных</w:t>
      </w:r>
      <w:proofErr w:type="spellEnd"/>
      <w:r w:rsidR="00F30765">
        <w:rPr>
          <w:color w:val="000000"/>
        </w:rPr>
        <w:t xml:space="preserve"> молекул-стабилизатора, обеспечивающих сродство с матрицей, преимущественно в изотропной фазе.</w:t>
      </w:r>
      <w:r w:rsidR="009E4D01">
        <w:rPr>
          <w:color w:val="000000"/>
        </w:rPr>
        <w:t xml:space="preserve"> </w:t>
      </w:r>
    </w:p>
    <w:p w14:paraId="3360FE32" w14:textId="77777777" w:rsidR="00FF1903" w:rsidRDefault="009E4D01" w:rsidP="00F550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настоящей работе продемонстрирован динамический контроль локализации полупроводниковых квантовых точек (КТ) </w:t>
      </w:r>
      <w:proofErr w:type="spellStart"/>
      <w:r>
        <w:rPr>
          <w:color w:val="000000"/>
          <w:lang w:val="en-US"/>
        </w:rPr>
        <w:t>CdSe</w:t>
      </w:r>
      <w:proofErr w:type="spellEnd"/>
      <w:r w:rsidRPr="009E4D01">
        <w:rPr>
          <w:color w:val="000000"/>
        </w:rPr>
        <w:t>/</w:t>
      </w:r>
      <w:r>
        <w:rPr>
          <w:color w:val="000000"/>
          <w:lang w:val="en-US"/>
        </w:rPr>
        <w:t>ZnS</w:t>
      </w:r>
      <w:r w:rsidR="000C4FFF">
        <w:rPr>
          <w:color w:val="000000"/>
        </w:rPr>
        <w:t xml:space="preserve"> в </w:t>
      </w:r>
      <w:proofErr w:type="spellStart"/>
      <w:r w:rsidRPr="009E4D01">
        <w:rPr>
          <w:color w:val="000000"/>
        </w:rPr>
        <w:t>нематической</w:t>
      </w:r>
      <w:proofErr w:type="spellEnd"/>
      <w:r w:rsidRPr="009E4D01">
        <w:rPr>
          <w:color w:val="000000"/>
        </w:rPr>
        <w:t xml:space="preserve"> матрице ЖК с помощью фотоинд</w:t>
      </w:r>
      <w:r w:rsidR="0082211C">
        <w:rPr>
          <w:color w:val="000000"/>
        </w:rPr>
        <w:t>уцированного фазового перехода</w:t>
      </w:r>
      <w:r>
        <w:rPr>
          <w:color w:val="000000"/>
        </w:rPr>
        <w:t xml:space="preserve">, локализованного в пределах УФ-освещённой области. </w:t>
      </w:r>
    </w:p>
    <w:p w14:paraId="2B0487E7" w14:textId="77777777" w:rsidR="00747300" w:rsidRDefault="00AC0D83" w:rsidP="002C1A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Проведено исследование </w:t>
      </w:r>
      <w:r w:rsidR="0082211C">
        <w:rPr>
          <w:color w:val="000000"/>
        </w:rPr>
        <w:t>композ</w:t>
      </w:r>
      <w:r w:rsidR="009E4D01">
        <w:rPr>
          <w:color w:val="000000"/>
        </w:rPr>
        <w:t>ици</w:t>
      </w:r>
      <w:r>
        <w:rPr>
          <w:color w:val="000000"/>
        </w:rPr>
        <w:t>и</w:t>
      </w:r>
      <w:r w:rsidR="009E4D01">
        <w:rPr>
          <w:color w:val="000000"/>
        </w:rPr>
        <w:t xml:space="preserve"> на основе </w:t>
      </w:r>
      <w:proofErr w:type="spellStart"/>
      <w:r w:rsidR="009E4D01">
        <w:rPr>
          <w:color w:val="000000"/>
        </w:rPr>
        <w:t>циа</w:t>
      </w:r>
      <w:r>
        <w:rPr>
          <w:color w:val="000000"/>
        </w:rPr>
        <w:t>нобифенильной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нематической</w:t>
      </w:r>
      <w:proofErr w:type="spellEnd"/>
      <w:r>
        <w:rPr>
          <w:color w:val="000000"/>
        </w:rPr>
        <w:t xml:space="preserve"> ЖК </w:t>
      </w:r>
      <w:r w:rsidR="000C4FFF">
        <w:rPr>
          <w:color w:val="000000"/>
        </w:rPr>
        <w:t>матрицы</w:t>
      </w:r>
      <w:r w:rsidR="009E4D01">
        <w:rPr>
          <w:color w:val="000000"/>
        </w:rPr>
        <w:t xml:space="preserve"> с добавлением 10</w:t>
      </w:r>
      <w:r w:rsidR="005E291D">
        <w:rPr>
          <w:color w:val="000000"/>
        </w:rPr>
        <w:t>.0</w:t>
      </w:r>
      <w:r w:rsidR="009E4D01">
        <w:rPr>
          <w:color w:val="000000"/>
        </w:rPr>
        <w:t xml:space="preserve"> мас</w:t>
      </w:r>
      <w:r w:rsidR="00740864">
        <w:rPr>
          <w:color w:val="000000"/>
        </w:rPr>
        <w:t>с</w:t>
      </w:r>
      <w:r w:rsidR="009E4D01">
        <w:rPr>
          <w:color w:val="000000"/>
        </w:rPr>
        <w:t xml:space="preserve">.% </w:t>
      </w:r>
      <w:proofErr w:type="spellStart"/>
      <w:r w:rsidR="009E4D01">
        <w:rPr>
          <w:color w:val="000000"/>
        </w:rPr>
        <w:t>азохромофорны</w:t>
      </w:r>
      <w:r>
        <w:rPr>
          <w:color w:val="000000"/>
        </w:rPr>
        <w:t>х</w:t>
      </w:r>
      <w:proofErr w:type="spellEnd"/>
      <w:r>
        <w:rPr>
          <w:color w:val="000000"/>
        </w:rPr>
        <w:t xml:space="preserve"> молекул и</w:t>
      </w:r>
      <w:r w:rsidR="005E291D">
        <w:rPr>
          <w:color w:val="000000"/>
        </w:rPr>
        <w:t xml:space="preserve"> 0.</w:t>
      </w:r>
      <w:r w:rsidR="009E4D01">
        <w:rPr>
          <w:color w:val="000000"/>
        </w:rPr>
        <w:t>1 мас</w:t>
      </w:r>
      <w:r w:rsidR="00B55CC2">
        <w:rPr>
          <w:color w:val="000000"/>
        </w:rPr>
        <w:t>с</w:t>
      </w:r>
      <w:r w:rsidR="009E4D01">
        <w:rPr>
          <w:color w:val="000000"/>
        </w:rPr>
        <w:t xml:space="preserve">.% КТ </w:t>
      </w:r>
      <w:proofErr w:type="spellStart"/>
      <w:r w:rsidR="009E4D01">
        <w:rPr>
          <w:color w:val="000000"/>
        </w:rPr>
        <w:t>CdSe</w:t>
      </w:r>
      <w:proofErr w:type="spellEnd"/>
      <w:r w:rsidR="009E4D01">
        <w:rPr>
          <w:color w:val="000000"/>
        </w:rPr>
        <w:t>/</w:t>
      </w:r>
      <w:proofErr w:type="spellStart"/>
      <w:r w:rsidR="009E4D01">
        <w:rPr>
          <w:color w:val="000000"/>
        </w:rPr>
        <w:t>ZnS</w:t>
      </w:r>
      <w:proofErr w:type="spellEnd"/>
      <w:r w:rsidR="0065108F">
        <w:rPr>
          <w:color w:val="000000"/>
        </w:rPr>
        <w:t xml:space="preserve"> (</w:t>
      </w:r>
      <w:r w:rsidR="009E4D01">
        <w:rPr>
          <w:color w:val="000000"/>
        </w:rPr>
        <w:t xml:space="preserve">среднего диаметра </w:t>
      </w:r>
      <w:r w:rsidR="0065108F">
        <w:rPr>
          <w:color w:val="000000"/>
        </w:rPr>
        <w:t xml:space="preserve">которых </w:t>
      </w:r>
      <w:r w:rsidR="009E4D01">
        <w:rPr>
          <w:color w:val="000000"/>
        </w:rPr>
        <w:t>около 5 нм</w:t>
      </w:r>
      <w:r w:rsidR="0065108F">
        <w:rPr>
          <w:color w:val="000000"/>
        </w:rPr>
        <w:t xml:space="preserve">). </w:t>
      </w:r>
      <w:r w:rsidR="009E4D01">
        <w:rPr>
          <w:color w:val="000000"/>
        </w:rPr>
        <w:t xml:space="preserve">Температура </w:t>
      </w:r>
      <w:proofErr w:type="spellStart"/>
      <w:r w:rsidR="009E4D01">
        <w:rPr>
          <w:color w:val="000000"/>
        </w:rPr>
        <w:t>изотропизации</w:t>
      </w:r>
      <w:proofErr w:type="spellEnd"/>
      <w:r w:rsidR="009E4D01">
        <w:rPr>
          <w:color w:val="000000"/>
        </w:rPr>
        <w:t xml:space="preserve"> </w:t>
      </w:r>
      <w:r w:rsidR="002C1ACF">
        <w:rPr>
          <w:color w:val="000000"/>
        </w:rPr>
        <w:t>композитной смеси составляет около 60</w:t>
      </w:r>
      <w:r w:rsidR="00747300">
        <w:rPr>
          <w:color w:val="000000"/>
        </w:rPr>
        <w:t xml:space="preserve">°С. </w:t>
      </w:r>
      <w:r w:rsidR="00AB00DA">
        <w:rPr>
          <w:color w:val="000000"/>
        </w:rPr>
        <w:t xml:space="preserve">Анализ </w:t>
      </w:r>
      <w:r w:rsidR="00A75EB9">
        <w:rPr>
          <w:color w:val="000000"/>
        </w:rPr>
        <w:t>проводили при 53 °С</w:t>
      </w:r>
      <w:r w:rsidR="00747300">
        <w:rPr>
          <w:color w:val="000000"/>
        </w:rPr>
        <w:t xml:space="preserve">, то есть на 7°С ниже температуры </w:t>
      </w:r>
      <w:proofErr w:type="spellStart"/>
      <w:r w:rsidR="00747300">
        <w:rPr>
          <w:color w:val="000000"/>
        </w:rPr>
        <w:t>изотропизации</w:t>
      </w:r>
      <w:proofErr w:type="spellEnd"/>
      <w:r w:rsidR="00747300">
        <w:rPr>
          <w:color w:val="000000"/>
        </w:rPr>
        <w:t xml:space="preserve"> в ячейке толщиной </w:t>
      </w:r>
      <w:r w:rsidR="00A75EB9">
        <w:rPr>
          <w:color w:val="000000"/>
        </w:rPr>
        <w:t xml:space="preserve">5 мкм. </w:t>
      </w:r>
    </w:p>
    <w:p w14:paraId="67DE642F" w14:textId="197E505D" w:rsidR="00747300" w:rsidRDefault="00747300" w:rsidP="007473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исходном состоянии наблюдали тусклый неоднородный фон и яркие КТ-обогащённы</w:t>
      </w:r>
      <w:r w:rsidR="006E687C">
        <w:rPr>
          <w:color w:val="000000"/>
        </w:rPr>
        <w:t>е капли диаметром порядка 10мкм</w:t>
      </w:r>
      <w:r>
        <w:rPr>
          <w:color w:val="000000"/>
        </w:rPr>
        <w:t>. Перерасчёт интенсивности ФЛ в концентрацию показывает, что в КТ-обогащённых областях концентрация достигает ~0.9 масс.% при средней 0.1 мас</w:t>
      </w:r>
      <w:r w:rsidR="0066739B">
        <w:rPr>
          <w:color w:val="000000"/>
        </w:rPr>
        <w:t>с</w:t>
      </w:r>
      <w:r>
        <w:rPr>
          <w:color w:val="000000"/>
        </w:rPr>
        <w:t xml:space="preserve">.%, тогда как в обеднённых областях составляет </w:t>
      </w:r>
      <w:r w:rsidRPr="00A75EB9">
        <w:rPr>
          <w:color w:val="000000"/>
        </w:rPr>
        <w:t>~0.05 мас</w:t>
      </w:r>
      <w:r>
        <w:rPr>
          <w:color w:val="000000"/>
        </w:rPr>
        <w:t>с</w:t>
      </w:r>
      <w:r w:rsidRPr="00A75EB9">
        <w:rPr>
          <w:color w:val="000000"/>
        </w:rPr>
        <w:t>.%</w:t>
      </w:r>
    </w:p>
    <w:p w14:paraId="59B652EA" w14:textId="77777777" w:rsidR="00747300" w:rsidRDefault="00747300" w:rsidP="00A830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Локальное УФ-облучение через щель вызывает </w:t>
      </w:r>
      <w:proofErr w:type="spellStart"/>
      <w:r>
        <w:rPr>
          <w:color w:val="000000"/>
        </w:rPr>
        <w:t>изотропизацию</w:t>
      </w:r>
      <w:proofErr w:type="spellEnd"/>
      <w:r>
        <w:rPr>
          <w:color w:val="000000"/>
        </w:rPr>
        <w:t xml:space="preserve"> ЖК в пределах полосы и приводит к выравниванию распределения КТ: стандартное отклонение ФЛ в области наблюдения в зоне облучения резко уменьшается уже после </w:t>
      </w:r>
      <w:r w:rsidRPr="00A75EB9">
        <w:rPr>
          <w:color w:val="000000"/>
        </w:rPr>
        <w:t xml:space="preserve">~1 мин, а практически однородно распределение достигается примерно за 10 мин при характерных размерах порядка 100-200 мкм. </w:t>
      </w:r>
      <w:r>
        <w:rPr>
          <w:color w:val="000000"/>
        </w:rPr>
        <w:t>После прекращения УФ-облучения КТ вновь агрегируют с образованием более крупных капель, чем в исходном состоянии, а интенсивность ФЛ возрастает до ~1:40; вне капель концентрация может снижаться ниже ~0.02 масс.%.</w:t>
      </w:r>
    </w:p>
    <w:p w14:paraId="4297ADCE" w14:textId="77777777" w:rsidR="007761F7" w:rsidRPr="00375439" w:rsidRDefault="007761F7" w:rsidP="00F550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Показано, что перемещение образца относительно неподвижного УФ-пятна позволяет накапливать КТ на границах индуцированной изотропной области. При скорости перемещения 26 мкм/мин формируется выраженная ассиметричная картина: за движущейся изотропной зоной возникает область, обеднённая КТ, а у </w:t>
      </w:r>
      <w:r w:rsidR="00375439" w:rsidRPr="009E4D01">
        <w:rPr>
          <w:color w:val="000000"/>
        </w:rPr>
        <w:t>«</w:t>
      </w:r>
      <w:r w:rsidR="00375439">
        <w:rPr>
          <w:color w:val="000000"/>
        </w:rPr>
        <w:t>задней</w:t>
      </w:r>
      <w:r w:rsidR="00375439" w:rsidRPr="009E4D01">
        <w:rPr>
          <w:color w:val="000000"/>
        </w:rPr>
        <w:t>»</w:t>
      </w:r>
      <w:r w:rsidR="00375439">
        <w:rPr>
          <w:color w:val="000000"/>
        </w:rPr>
        <w:t xml:space="preserve"> границы изотропного пятна наблюдается увеличение концентрации более чем в неско</w:t>
      </w:r>
      <w:r w:rsidR="00A830AB">
        <w:rPr>
          <w:color w:val="000000"/>
        </w:rPr>
        <w:t xml:space="preserve">лько раз относительно исходной. </w:t>
      </w:r>
      <w:r w:rsidR="00375439">
        <w:rPr>
          <w:color w:val="000000"/>
        </w:rPr>
        <w:t xml:space="preserve">Полученные результаты демонстрируют возможность оптического, </w:t>
      </w:r>
      <w:proofErr w:type="spellStart"/>
      <w:r w:rsidR="00375439">
        <w:rPr>
          <w:color w:val="000000"/>
        </w:rPr>
        <w:t>пространственно</w:t>
      </w:r>
      <w:proofErr w:type="spellEnd"/>
      <w:r w:rsidR="00375439">
        <w:rPr>
          <w:color w:val="000000"/>
        </w:rPr>
        <w:t xml:space="preserve"> локализованного распределения КТ в матрице ЖК и создания КТ-обогащённых областей за счёт управляемого светом фазового перехода и диффузии.</w:t>
      </w:r>
    </w:p>
    <w:p w14:paraId="4FF386A9" w14:textId="77777777" w:rsidR="00293AFB" w:rsidRDefault="00293AFB" w:rsidP="003754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14:paraId="4C81DE88" w14:textId="77777777" w:rsidR="00116478" w:rsidRPr="00375439" w:rsidRDefault="00293AFB" w:rsidP="003754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Работа выполнена в рамках </w:t>
      </w:r>
      <w:proofErr w:type="spellStart"/>
      <w:r>
        <w:rPr>
          <w:i/>
          <w:iCs/>
          <w:color w:val="000000"/>
        </w:rPr>
        <w:t>Госзадания</w:t>
      </w:r>
      <w:proofErr w:type="spellEnd"/>
      <w:r>
        <w:rPr>
          <w:i/>
          <w:iCs/>
          <w:color w:val="000000"/>
        </w:rPr>
        <w:t xml:space="preserve"> ИНХС РАН</w:t>
      </w:r>
      <w:r w:rsidR="00A02163" w:rsidRPr="00A02163">
        <w:rPr>
          <w:i/>
          <w:iCs/>
          <w:color w:val="000000"/>
        </w:rPr>
        <w:t>.</w:t>
      </w:r>
    </w:p>
    <w:sectPr w:rsidR="00116478" w:rsidRPr="00375439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094281">
    <w:abstractNumId w:val="2"/>
  </w:num>
  <w:num w:numId="2" w16cid:durableId="1799908127">
    <w:abstractNumId w:val="3"/>
  </w:num>
  <w:num w:numId="3" w16cid:durableId="9258502">
    <w:abstractNumId w:val="1"/>
  </w:num>
  <w:num w:numId="4" w16cid:durableId="315032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41"/>
    <w:rsid w:val="00061303"/>
    <w:rsid w:val="00063966"/>
    <w:rsid w:val="00075D6E"/>
    <w:rsid w:val="00086081"/>
    <w:rsid w:val="0009333C"/>
    <w:rsid w:val="0009449A"/>
    <w:rsid w:val="00094FD0"/>
    <w:rsid w:val="000C4FFF"/>
    <w:rsid w:val="000E334E"/>
    <w:rsid w:val="00101A1C"/>
    <w:rsid w:val="00103657"/>
    <w:rsid w:val="00106375"/>
    <w:rsid w:val="00107AA3"/>
    <w:rsid w:val="00116478"/>
    <w:rsid w:val="00130241"/>
    <w:rsid w:val="00190AA5"/>
    <w:rsid w:val="001B4C97"/>
    <w:rsid w:val="001E5782"/>
    <w:rsid w:val="001E61C2"/>
    <w:rsid w:val="001F0493"/>
    <w:rsid w:val="0022260A"/>
    <w:rsid w:val="002264EE"/>
    <w:rsid w:val="0023307C"/>
    <w:rsid w:val="00293AFB"/>
    <w:rsid w:val="002B1CD0"/>
    <w:rsid w:val="002C1ACF"/>
    <w:rsid w:val="0031361E"/>
    <w:rsid w:val="003159A0"/>
    <w:rsid w:val="00344930"/>
    <w:rsid w:val="00373E2D"/>
    <w:rsid w:val="00375439"/>
    <w:rsid w:val="00391C38"/>
    <w:rsid w:val="003B76D6"/>
    <w:rsid w:val="003D09AD"/>
    <w:rsid w:val="003E2601"/>
    <w:rsid w:val="003F4E6B"/>
    <w:rsid w:val="004A26A3"/>
    <w:rsid w:val="004C1E4C"/>
    <w:rsid w:val="004F0EDF"/>
    <w:rsid w:val="00522BF1"/>
    <w:rsid w:val="0056775B"/>
    <w:rsid w:val="00567854"/>
    <w:rsid w:val="00590166"/>
    <w:rsid w:val="005B07E6"/>
    <w:rsid w:val="005D022B"/>
    <w:rsid w:val="005E291D"/>
    <w:rsid w:val="005E5BE9"/>
    <w:rsid w:val="0065108F"/>
    <w:rsid w:val="00655221"/>
    <w:rsid w:val="00665279"/>
    <w:rsid w:val="0066739B"/>
    <w:rsid w:val="0069427D"/>
    <w:rsid w:val="006D6009"/>
    <w:rsid w:val="006E687C"/>
    <w:rsid w:val="006F7A19"/>
    <w:rsid w:val="00705378"/>
    <w:rsid w:val="007213E1"/>
    <w:rsid w:val="00740864"/>
    <w:rsid w:val="00747300"/>
    <w:rsid w:val="00775389"/>
    <w:rsid w:val="007761F7"/>
    <w:rsid w:val="00797838"/>
    <w:rsid w:val="007C36D8"/>
    <w:rsid w:val="007F2744"/>
    <w:rsid w:val="0082211C"/>
    <w:rsid w:val="00876C8E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E4D01"/>
    <w:rsid w:val="009F3380"/>
    <w:rsid w:val="00A02163"/>
    <w:rsid w:val="00A10D0C"/>
    <w:rsid w:val="00A314FE"/>
    <w:rsid w:val="00A364E5"/>
    <w:rsid w:val="00A716E4"/>
    <w:rsid w:val="00A75EB9"/>
    <w:rsid w:val="00A830AB"/>
    <w:rsid w:val="00AA1D62"/>
    <w:rsid w:val="00AB00DA"/>
    <w:rsid w:val="00AC0D83"/>
    <w:rsid w:val="00AD7380"/>
    <w:rsid w:val="00B47461"/>
    <w:rsid w:val="00B55CC2"/>
    <w:rsid w:val="00BE0D07"/>
    <w:rsid w:val="00BF36F8"/>
    <w:rsid w:val="00BF4622"/>
    <w:rsid w:val="00C36346"/>
    <w:rsid w:val="00C844E2"/>
    <w:rsid w:val="00CD00B1"/>
    <w:rsid w:val="00CD3D47"/>
    <w:rsid w:val="00CD58F7"/>
    <w:rsid w:val="00D22306"/>
    <w:rsid w:val="00D30385"/>
    <w:rsid w:val="00D37D84"/>
    <w:rsid w:val="00D42542"/>
    <w:rsid w:val="00D8121C"/>
    <w:rsid w:val="00DD47C4"/>
    <w:rsid w:val="00E172CC"/>
    <w:rsid w:val="00E22189"/>
    <w:rsid w:val="00E27DAA"/>
    <w:rsid w:val="00E74069"/>
    <w:rsid w:val="00E81D35"/>
    <w:rsid w:val="00EB1F49"/>
    <w:rsid w:val="00F30765"/>
    <w:rsid w:val="00F55054"/>
    <w:rsid w:val="00F851B5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272EC"/>
  <w15:docId w15:val="{152650F5-CFF2-47EC-9081-D8F0D6823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B4746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B4746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B4746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B4746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B4746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B4746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4746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B4746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B4746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45A3A9-E39C-4D6E-921E-051B3D8B6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Semyon</cp:lastModifiedBy>
  <cp:revision>37</cp:revision>
  <cp:lastPrinted>2026-01-28T14:24:00Z</cp:lastPrinted>
  <dcterms:created xsi:type="dcterms:W3CDTF">2026-01-28T14:24:00Z</dcterms:created>
  <dcterms:modified xsi:type="dcterms:W3CDTF">2026-03-02T15:15:00Z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