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36861C" w:rsidR="00130241" w:rsidRDefault="00116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16262">
        <w:rPr>
          <w:b/>
          <w:color w:val="000000"/>
        </w:rPr>
        <w:t>Современные подходы к интенсификации процессов абсорбции: роль конструкции контактных устройств</w:t>
      </w:r>
    </w:p>
    <w:p w14:paraId="00000002" w14:textId="2AD2494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</w:t>
      </w:r>
      <w:r w:rsidR="00116262">
        <w:rPr>
          <w:b/>
          <w:i/>
          <w:color w:val="000000"/>
        </w:rPr>
        <w:t>батуллина</w:t>
      </w:r>
      <w:proofErr w:type="spellEnd"/>
      <w:r>
        <w:rPr>
          <w:b/>
          <w:i/>
          <w:color w:val="000000"/>
        </w:rPr>
        <w:t xml:space="preserve"> </w:t>
      </w:r>
      <w:r w:rsidR="00116262">
        <w:rPr>
          <w:b/>
          <w:i/>
          <w:color w:val="000000"/>
        </w:rPr>
        <w:t>Д</w:t>
      </w:r>
      <w:r>
        <w:rPr>
          <w:b/>
          <w:i/>
          <w:color w:val="000000"/>
        </w:rPr>
        <w:t>.</w:t>
      </w:r>
      <w:r w:rsidR="00116262">
        <w:rPr>
          <w:b/>
          <w:i/>
          <w:color w:val="000000"/>
        </w:rPr>
        <w:t>Э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116262">
        <w:rPr>
          <w:b/>
          <w:i/>
          <w:color w:val="000000"/>
        </w:rPr>
        <w:t>Хамидуллин</w:t>
      </w:r>
      <w:proofErr w:type="spellEnd"/>
      <w:r w:rsidR="00116262">
        <w:rPr>
          <w:b/>
          <w:i/>
          <w:color w:val="000000"/>
        </w:rPr>
        <w:t xml:space="preserve"> Р</w:t>
      </w:r>
      <w:r>
        <w:rPr>
          <w:b/>
          <w:i/>
          <w:color w:val="000000"/>
        </w:rPr>
        <w:t>.</w:t>
      </w:r>
      <w:r w:rsidR="00116262">
        <w:rPr>
          <w:b/>
          <w:i/>
          <w:color w:val="000000"/>
        </w:rPr>
        <w:t>Н</w:t>
      </w:r>
      <w:r>
        <w:rPr>
          <w:b/>
          <w:i/>
          <w:color w:val="000000"/>
        </w:rPr>
        <w:t>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14ED379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1626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16262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17F1FE1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16262">
        <w:rPr>
          <w:i/>
          <w:color w:val="000000"/>
        </w:rPr>
        <w:t>ФБОУ ВО «Казанский государственный энергетический университет»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116262">
        <w:rPr>
          <w:i/>
          <w:color w:val="000000"/>
        </w:rPr>
        <w:t>Институт электроэнергетики и электроники</w:t>
      </w:r>
      <w:r>
        <w:rPr>
          <w:i/>
          <w:color w:val="000000"/>
        </w:rPr>
        <w:t xml:space="preserve">, </w:t>
      </w:r>
      <w:r w:rsidR="00116262">
        <w:rPr>
          <w:i/>
          <w:color w:val="000000"/>
        </w:rPr>
        <w:t>Казань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02412074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16262">
        <w:rPr>
          <w:i/>
          <w:color w:val="000000"/>
        </w:rPr>
        <w:t>ФГБОУ ВО «Казанский на</w:t>
      </w:r>
      <w:r w:rsidR="008F7385">
        <w:rPr>
          <w:i/>
          <w:color w:val="000000"/>
        </w:rPr>
        <w:t>у</w:t>
      </w:r>
      <w:r w:rsidR="00116262">
        <w:rPr>
          <w:i/>
          <w:color w:val="000000"/>
        </w:rPr>
        <w:t>чно-исследовательский технологический университет</w:t>
      </w:r>
      <w:r w:rsidR="002B1CD0" w:rsidRPr="002B1CD0">
        <w:rPr>
          <w:i/>
          <w:color w:val="000000"/>
        </w:rPr>
        <w:t xml:space="preserve">, </w:t>
      </w:r>
      <w:r w:rsidR="002D217A">
        <w:rPr>
          <w:i/>
          <w:color w:val="000000"/>
        </w:rPr>
        <w:t>Казань</w:t>
      </w:r>
      <w:r w:rsidR="002B1CD0" w:rsidRPr="002B1CD0">
        <w:rPr>
          <w:i/>
          <w:color w:val="000000"/>
        </w:rPr>
        <w:t>, Россия</w:t>
      </w:r>
    </w:p>
    <w:p w14:paraId="00000008" w14:textId="693E5064" w:rsidR="00130241" w:rsidRPr="002D21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2D217A">
        <w:rPr>
          <w:i/>
          <w:color w:val="000000"/>
          <w:lang w:val="en-US"/>
        </w:rPr>
        <w:t>E</w:t>
      </w:r>
      <w:r w:rsidR="003B76D6" w:rsidRPr="002D217A">
        <w:rPr>
          <w:i/>
          <w:color w:val="000000"/>
          <w:lang w:val="en-US"/>
        </w:rPr>
        <w:t>-</w:t>
      </w:r>
      <w:r w:rsidRPr="002D217A">
        <w:rPr>
          <w:i/>
          <w:color w:val="000000"/>
          <w:lang w:val="en-US"/>
        </w:rPr>
        <w:t>mail:</w:t>
      </w:r>
      <w:r w:rsidR="002D217A" w:rsidRPr="002D217A">
        <w:rPr>
          <w:i/>
          <w:color w:val="000000"/>
          <w:lang w:val="en-US"/>
        </w:rPr>
        <w:t xml:space="preserve"> </w:t>
      </w:r>
      <w:r w:rsidR="002D217A" w:rsidRPr="002D217A">
        <w:rPr>
          <w:i/>
          <w:color w:val="000000"/>
          <w:u w:val="single"/>
          <w:lang w:val="en-US"/>
        </w:rPr>
        <w:t>ibatullinadiana14@gmail.com</w:t>
      </w:r>
    </w:p>
    <w:p w14:paraId="7C0CB041" w14:textId="77777777" w:rsidR="004450F5" w:rsidRDefault="004450F5" w:rsidP="00445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50F5">
        <w:rPr>
          <w:color w:val="000000"/>
        </w:rPr>
        <w:t>Абсорбция является одним из наиболее распространённых методов очистки газовых потоков и извлечения компонентов из газовых смесей. Эффективность процесса во многом зависит от конструктивных особенностей абсорбционных аппаратов и условий их эксплуатации. Поэтому анализ преимуществ и ограничений различных типов абсорберов представляет значительный практический интерес.</w:t>
      </w:r>
    </w:p>
    <w:p w14:paraId="022FC08C" w14:textId="0DD2A6B3" w:rsidR="00A02163" w:rsidRDefault="004450F5" w:rsidP="00445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50F5">
        <w:rPr>
          <w:color w:val="000000"/>
        </w:rPr>
        <w:t xml:space="preserve"> </w:t>
      </w:r>
      <w:r w:rsidRPr="004450F5">
        <w:rPr>
          <w:color w:val="000000"/>
        </w:rPr>
        <w:t>Целью работы является сравнительный анализ современных типов абсорберов и выявление их основных преимуществ и ограничений.</w:t>
      </w:r>
    </w:p>
    <w:p w14:paraId="6ADF05F3" w14:textId="4B43A960" w:rsidR="003E5474" w:rsidRDefault="004450F5" w:rsidP="003E5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50F5">
        <w:rPr>
          <w:color w:val="000000"/>
        </w:rPr>
        <w:t>В промышленной практике наиболее широко применяются насадочные, тарельчатые и сетчатые абсорберы, различающиеся конструктивными особенностями и гидродинамическими характеристиками.</w:t>
      </w:r>
      <w:r w:rsidR="003E5474">
        <w:rPr>
          <w:color w:val="000000"/>
        </w:rPr>
        <w:t xml:space="preserve"> </w:t>
      </w:r>
      <w:r w:rsidR="003E5474" w:rsidRPr="003E5474">
        <w:rPr>
          <w:color w:val="000000"/>
        </w:rPr>
        <w:t>Эффективность функционирования абсорбционных аппаратов определяется их конструктивными особенностями, гидродинамическими характеристиками и условиями эксплуатации</w:t>
      </w:r>
      <w:r w:rsidR="003E5474">
        <w:rPr>
          <w:color w:val="000000"/>
        </w:rPr>
        <w:t xml:space="preserve"> </w:t>
      </w:r>
      <w:r w:rsidR="003E5474" w:rsidRPr="003E5474">
        <w:rPr>
          <w:color w:val="000000"/>
        </w:rPr>
        <w:t>[1]. Насадочные абсорберы обеспечивают высокую удельную площадь межфазного контакта и относительно низкое гидравлическое сопротивление, что способствует увеличению коэффициента массопереноса; их применение целесообразно для газовых потоков с умеренной концентрацией примесей, однако эксплуатация ограничена чувствительностью к механическим загрязнениям и осадкообразованию. Тарельчатые абсорберы характеризуются стабильной гидродинамикой при переменных нагрузках и высокой степенью очистки, что делает их предпочтительными при высоких требованиях к качеству абсорбции, несмотря на повышенные капитальные и энергетические затраты. Сетчатые (волокнистые) абсорберы демонстрируют высокую эффективность улавливания дисперсных капель и мелкодисперсных аэрозолей, что обеспечивает их применение при насыщенных или загрязнённых газовых потоках, хотя их пропускная способность и механическая устойчивость ограничены</w:t>
      </w:r>
      <w:r w:rsidR="003E5474">
        <w:rPr>
          <w:color w:val="000000"/>
        </w:rPr>
        <w:t xml:space="preserve"> </w:t>
      </w:r>
      <w:r w:rsidR="003E5474" w:rsidRPr="003E5474">
        <w:rPr>
          <w:color w:val="000000"/>
        </w:rPr>
        <w:t>[</w:t>
      </w:r>
      <w:r w:rsidR="003E5474">
        <w:rPr>
          <w:color w:val="000000"/>
        </w:rPr>
        <w:t>2</w:t>
      </w:r>
      <w:r w:rsidR="003E5474" w:rsidRPr="003E5474">
        <w:rPr>
          <w:color w:val="000000"/>
        </w:rPr>
        <w:t>].</w:t>
      </w:r>
    </w:p>
    <w:p w14:paraId="796B6210" w14:textId="77777777" w:rsidR="003E5474" w:rsidRDefault="003E5474" w:rsidP="003E5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E5474">
        <w:rPr>
          <w:color w:val="000000"/>
        </w:rPr>
        <w:t>Комплексный выбор типа абсорбера должен базироваться на анализе физико-химических свойств фаз, массовой нагрузки, требуемой степени очистки и технологических условий эксплуатации, что позволяет оптимизировать эффективность процесса и снизить эксплуатационные издержки.</w:t>
      </w:r>
      <w:r w:rsidRPr="003E5474">
        <w:t xml:space="preserve"> </w:t>
      </w:r>
    </w:p>
    <w:p w14:paraId="3518AF0B" w14:textId="6F4306DE" w:rsidR="003E5474" w:rsidRPr="004450F5" w:rsidRDefault="003E5474" w:rsidP="003E5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5474">
        <w:rPr>
          <w:color w:val="000000"/>
        </w:rPr>
        <w:t>Таким образом, эффективность и область применения абсорберов определяются их конструктивными особенностями и гидродинамическими характеристиками. Рациональный выбор типа аппарата на основе физических свойств фаз и технологических требований позволяет оптимизировать процесс абсорбции и повысить его производительность.</w:t>
      </w:r>
    </w:p>
    <w:p w14:paraId="6C3D8443" w14:textId="77777777" w:rsidR="004450F5" w:rsidRPr="0009449A" w:rsidRDefault="004450F5" w:rsidP="00445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3E547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AAB767B" w:rsidR="00116478" w:rsidRPr="006B3BA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B3BAB">
        <w:rPr>
          <w:color w:val="000000"/>
        </w:rPr>
        <w:t xml:space="preserve">1. </w:t>
      </w:r>
      <w:r w:rsidR="006B3BAB" w:rsidRPr="006B3BAB">
        <w:rPr>
          <w:color w:val="000000"/>
        </w:rPr>
        <w:t xml:space="preserve">Лаптева Е. А., Башаров М. М., Лаптев А. Г. Сравнительные характеристики эффективности насадочных контактных устройств в газосепараторах аэрозолей / Е. А. Лаптева, М. М. Башаров, А. Г. Лаптев // </w:t>
      </w:r>
      <w:r w:rsidR="006B3BAB" w:rsidRPr="006B3BAB">
        <w:rPr>
          <w:color w:val="000000"/>
          <w:lang w:val="en-US"/>
        </w:rPr>
        <w:t>Herald</w:t>
      </w:r>
      <w:r w:rsidR="006B3BAB" w:rsidRPr="006B3BAB">
        <w:rPr>
          <w:color w:val="000000"/>
        </w:rPr>
        <w:t xml:space="preserve"> </w:t>
      </w:r>
      <w:r w:rsidR="006B3BAB" w:rsidRPr="006B3BAB">
        <w:rPr>
          <w:color w:val="000000"/>
          <w:lang w:val="en-US"/>
        </w:rPr>
        <w:t>of</w:t>
      </w:r>
      <w:r w:rsidR="006B3BAB" w:rsidRPr="006B3BAB">
        <w:rPr>
          <w:color w:val="000000"/>
        </w:rPr>
        <w:t xml:space="preserve"> </w:t>
      </w:r>
      <w:r w:rsidR="006B3BAB" w:rsidRPr="006B3BAB">
        <w:rPr>
          <w:color w:val="000000"/>
          <w:lang w:val="en-US"/>
        </w:rPr>
        <w:t>Technological</w:t>
      </w:r>
      <w:r w:rsidR="006B3BAB" w:rsidRPr="006B3BAB">
        <w:rPr>
          <w:color w:val="000000"/>
        </w:rPr>
        <w:t xml:space="preserve"> </w:t>
      </w:r>
      <w:r w:rsidR="006B3BAB" w:rsidRPr="006B3BAB">
        <w:rPr>
          <w:color w:val="000000"/>
          <w:lang w:val="en-US"/>
        </w:rPr>
        <w:t>University</w:t>
      </w:r>
      <w:r w:rsidR="006B3BAB" w:rsidRPr="006B3BAB">
        <w:rPr>
          <w:color w:val="000000"/>
        </w:rPr>
        <w:t xml:space="preserve">. — 2023. — Т. 26, № 5. — С. </w:t>
      </w:r>
      <w:r w:rsidR="006B3BAB">
        <w:rPr>
          <w:color w:val="000000"/>
        </w:rPr>
        <w:t>25-33.</w:t>
      </w:r>
    </w:p>
    <w:p w14:paraId="36653348" w14:textId="636D3363" w:rsidR="006B3BAB" w:rsidRPr="006B3BA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6B3BAB">
        <w:rPr>
          <w:color w:val="000000"/>
        </w:rPr>
        <w:t xml:space="preserve">2. </w:t>
      </w:r>
      <w:r w:rsidR="006B3BAB" w:rsidRPr="006B3BAB">
        <w:rPr>
          <w:noProof/>
        </w:rPr>
        <w:t>Вайтехович П. Е., Мытько Д. Ю. Сравнительный анализ эффективности регулярных насадок для массообменных аппаратов // Труды БГТУ. Серия 2: Химические технологии, биотехнология, геоэкология. — 2020</w:t>
      </w:r>
      <w:r w:rsidR="006B3BAB">
        <w:rPr>
          <w:noProof/>
        </w:rPr>
        <w:t>.</w:t>
      </w:r>
    </w:p>
    <w:sectPr w:rsidR="006B3BAB" w:rsidRPr="006B3BAB" w:rsidSect="008F73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262"/>
    <w:rsid w:val="00116478"/>
    <w:rsid w:val="00130241"/>
    <w:rsid w:val="001E61C2"/>
    <w:rsid w:val="001F0493"/>
    <w:rsid w:val="0022260A"/>
    <w:rsid w:val="002264EE"/>
    <w:rsid w:val="0023307C"/>
    <w:rsid w:val="002B1CD0"/>
    <w:rsid w:val="002D217A"/>
    <w:rsid w:val="0031361E"/>
    <w:rsid w:val="00344930"/>
    <w:rsid w:val="00373E2D"/>
    <w:rsid w:val="00391C38"/>
    <w:rsid w:val="003B76D6"/>
    <w:rsid w:val="003D09AD"/>
    <w:rsid w:val="003E2601"/>
    <w:rsid w:val="003E5474"/>
    <w:rsid w:val="003F4E6B"/>
    <w:rsid w:val="004450F5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B3BAB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F738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2026-01-28T14:24:00Z</cp:lastPrinted>
  <dcterms:created xsi:type="dcterms:W3CDTF">2026-03-07T20:02:00Z</dcterms:created>
  <dcterms:modified xsi:type="dcterms:W3CDTF">2026-03-07T20:46:00Z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