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5.19685039370074"/>
        </w:tabs>
        <w:spacing w:line="240" w:lineRule="auto"/>
        <w:ind w:left="0" w:right="-207.7952755905516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Повторные измерения температуры в различных моделях и их роль в квантовых технологиях.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Герасимов Н.М.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МГУ им. М.В.Ломоносова,физический факультет,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ee"/>
            <w:sz w:val="24"/>
            <w:szCs w:val="24"/>
            <w:u w:val="single"/>
            <w:rtl w:val="0"/>
          </w:rPr>
          <w:t xml:space="preserve">gerasimov.nm20@physics.msu.ru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Актуальной темой исследования для современной физики является описание механизма измерения параметров квантовой системы. Особый интерес представляет измерение температуры, ставшее одним из ключевых направлений развития квантовой термодинамики в последние годы[1]. Возможность наблюдения за температурой, а также описание потока энергии между системой и зондом в процессе измерения и описание процесса термализации играют колоссальную роль в развитии фундаментальной физики и квантовых технологий. Например, четкий контроль температуры требуется в задачах из области низких температур, а также в исследованиях, посвященных квантовым двигателям[3].</w:t>
      </w:r>
    </w:p>
    <w:p w:rsidR="00000000" w:rsidDel="00000000" w:rsidP="00000000" w:rsidRDefault="00000000" w:rsidRPr="00000000" w14:paraId="00000008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Измерение температуры в данном исследовании основано на принципах анзацев[4] и зондовой метрологии. Исследуемый образец приводится в контакт с зондовым термометром, приготовленным в известном состоянии. Таким образом, зонд и образец становятся системой и окружением, а их взаимодействие описывается теорией открытых квантовых систем.</w:t>
      </w:r>
    </w:p>
    <w:p w:rsidR="00000000" w:rsidDel="00000000" w:rsidP="00000000" w:rsidRDefault="00000000" w:rsidRPr="00000000" w14:paraId="00000009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Особый интерес представляют повторные измерения, поскольку они имеют как технические, так и статистические преимущества. Возможность перейти от однократных измерений к повторным сильно ускоряет и упрощает процесс исследования, позволяя проводить несколько измерений на одном образце. Также данный подход имеет преимущества с точки зрения квантовой информации Фишера[2]. </w:t>
      </w:r>
    </w:p>
    <w:p w:rsidR="00000000" w:rsidDel="00000000" w:rsidP="00000000" w:rsidRDefault="00000000" w:rsidRPr="00000000" w14:paraId="0000000A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Сложность повторных измерений заключается в чувствительности квантовых систем к внешнему воздействию. В связи с этим возникает необходимость в точном теоретическом описании эволюции системы в ходе измерения.</w:t>
      </w:r>
    </w:p>
    <w:p w:rsidR="00000000" w:rsidDel="00000000" w:rsidP="00000000" w:rsidRDefault="00000000" w:rsidRPr="00000000" w14:paraId="0000000B">
      <w:pPr>
        <w:tabs>
          <w:tab w:val="left" w:leader="none" w:pos="425.19685039370074"/>
        </w:tabs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стробоскопическом пределе для обобщенных анзацев механизм последовательных измерений состоит из двух повторяющихся действий[5]: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425.1968503937007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Мгновенная трансформация в постериорный анзац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425.1968503937007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Временная эволюция в течение времени ∆t с константой связи λ, описываемая полугруппой 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e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λ𝓛Δt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некоторым генератором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𝓛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например, в форме ГКС-Л.</w:t>
      </w:r>
    </w:p>
    <w:p w:rsidR="00000000" w:rsidDel="00000000" w:rsidP="00000000" w:rsidRDefault="00000000" w:rsidRPr="00000000" w14:paraId="0000000E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Измерение температуры описывается с помощью анзаца состояния Гиббса</w:t>
      </w:r>
    </w:p>
    <w:p w:rsidR="00000000" w:rsidDel="00000000" w:rsidP="00000000" w:rsidRDefault="00000000" w:rsidRPr="00000000" w14:paraId="0000000F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71800" cy="318742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75600" cy="12193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" cy="121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обратная температура, а 𝐏 – вектор релевантной наблюдаемой.</w:t>
      </w:r>
    </w:p>
    <w:p w:rsidR="00000000" w:rsidDel="00000000" w:rsidP="00000000" w:rsidRDefault="00000000" w:rsidRPr="00000000" w14:paraId="00000011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350812" cy="222681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0812" cy="2226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Решение данного уравнения дает нам информацию о температуре системы, а также о потоке энергии и теплоемкости:</w:t>
      </w:r>
    </w:p>
    <w:p w:rsidR="00000000" w:rsidDel="00000000" w:rsidP="00000000" w:rsidRDefault="00000000" w:rsidRPr="00000000" w14:paraId="00000013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933950" cy="852314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852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Данные уравнения подходят для описания любой задачи в стробоскопическом пределе, в качестве примеров рассмотрим образец и зонд, представленные кубитами.</w:t>
      </w:r>
    </w:p>
    <w:p w:rsidR="00000000" w:rsidDel="00000000" w:rsidP="00000000" w:rsidRDefault="00000000" w:rsidRPr="00000000" w14:paraId="00000015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Генератор в форме ГКС-Л для двух кубитов имеет следующий вид:</w:t>
      </w:r>
    </w:p>
    <w:p w:rsidR="00000000" w:rsidDel="00000000" w:rsidP="00000000" w:rsidRDefault="00000000" w:rsidRPr="00000000" w14:paraId="00000016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765624" cy="32689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5624" cy="326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Инвазивность измерений в данном случае описывается следующим уравнением:</w:t>
      </w:r>
    </w:p>
    <w:p w:rsidR="00000000" w:rsidDel="00000000" w:rsidP="00000000" w:rsidRDefault="00000000" w:rsidRPr="00000000" w14:paraId="00000018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26902" cy="431297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6902" cy="4312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072279" cy="507497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279" cy="507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Заметим, что в отсутствие внешнего поля Ω пропадает зависимость от времени измерений.</w:t>
      </w:r>
    </w:p>
    <w:p w:rsidR="00000000" w:rsidDel="00000000" w:rsidP="00000000" w:rsidRDefault="00000000" w:rsidRPr="00000000" w14:paraId="0000001A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Температура в данном случае имеет вид:</w:t>
      </w:r>
    </w:p>
    <w:p w:rsidR="00000000" w:rsidDel="00000000" w:rsidP="00000000" w:rsidRDefault="00000000" w:rsidRPr="00000000" w14:paraId="0000001B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900238" cy="61298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612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Описанный пример позволяет описывать динамику SWAP-двигателей, получивших большое внимание в последние годы. Используя вышеприведенный механизм можно получить аналогичные уравнения путем подстановки уравнения эволюции с помощью операции SWAP:</w:t>
      </w:r>
    </w:p>
    <w:p w:rsidR="00000000" w:rsidDel="00000000" w:rsidP="00000000" w:rsidRDefault="00000000" w:rsidRPr="00000000" w14:paraId="0000001D">
      <w:pPr>
        <w:tabs>
          <w:tab w:val="left" w:leader="none" w:pos="425.19685039370074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227362" cy="30285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7362" cy="30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Решение данной задачи позволяет получить оценку времени термализации и других параметров, имеющих прикладную ценность для создания квантовых технологий.</w:t>
      </w:r>
    </w:p>
    <w:p w:rsidR="00000000" w:rsidDel="00000000" w:rsidP="00000000" w:rsidRDefault="00000000" w:rsidRPr="00000000" w14:paraId="0000001F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Тем не менее, нельзя ограничить данное исследование рассмотрением только стробоскопического предела. Другие модели также представляют интерес, в частности, было показано, что в случае однократных измерений предел сильной связи обладает меньшей инвазивностью[1]. </w:t>
        <w:br w:type="textWrapping"/>
        <w:tab/>
        <w:t xml:space="preserve">Также фундаментальный интерес представляет описание унитарной динамики повторных измерений с помощью модели столкновений. Данный подход позволит исследовать случаи, когда измерение происходит быстрее, чем достигается марковость.</w:t>
        <w:br w:type="textWrapping"/>
        <w:tab/>
      </w:r>
    </w:p>
    <w:p w:rsidR="00000000" w:rsidDel="00000000" w:rsidP="00000000" w:rsidRDefault="00000000" w:rsidRPr="00000000" w14:paraId="00000020">
      <w:pPr>
        <w:tabs>
          <w:tab w:val="left" w:leader="none" w:pos="425.1968503937007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Albarelli, F., Paris, M. G. A., Vacchini, B., &amp; Smirne, A. Invasiveness of nonequilibrium pure-dephasing quantum thermometry.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Physical Review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108(6), 2023.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Pasquale, A., Yuasa, K., &amp; Giovannetti, V. Estimating temperature via sequential measurements.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Physical Review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96(1), 2017.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Dimitris Moustos and Obinna Abah, "Surpassing Carnot efficiency with relativistic motion", arXiv:2508.11554.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Kh. Sh. Meretukov and A. E. Teretenkov, "On Time-Dependent Projectors and a Generalization of the Thermodynamical Approach in the Theory of Open Quantum Systems,"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Proc. Steklov Inst. Math.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324, 135–152 (2024).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 M. Gerasimov, A. E. Teretenkov, "Repeated temperature measurements in quantum thermodynamics",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Lobachevskii J. Math.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46(6), 2501–2512 (2025).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258.5826771653544" w:top="1133.8582677165355" w:left="1360.6299212598426" w:right="1360.6299212598426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gerasimov.nm20@physics.msu.ru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