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8D97" w14:textId="27782872" w:rsidR="00DD7DF6" w:rsidRDefault="00DD7DF6" w:rsidP="00DD7DF6">
      <w:pPr>
        <w:spacing w:after="0"/>
        <w:ind w:firstLine="709"/>
        <w:jc w:val="both"/>
      </w:pPr>
      <w:r>
        <w:t xml:space="preserve">Изучение </w:t>
      </w:r>
      <w:proofErr w:type="spellStart"/>
      <w:r>
        <w:t>экзопланетных</w:t>
      </w:r>
      <w:proofErr w:type="spellEnd"/>
      <w:r>
        <w:t xml:space="preserve"> систем позволяет понять механизмы формирования планет, включая историю Солнечной системы. Считается, что звезда и её планеты формируются в едином процессе из аккреционного диска [1, 2]. Современная теория предполагает, что сначала в диске из-за нестабильностей образуются кольца, а затем путём постоянных столкновений материи формируются </w:t>
      </w:r>
      <w:proofErr w:type="spellStart"/>
      <w:r>
        <w:t>планетезимали</w:t>
      </w:r>
      <w:proofErr w:type="spellEnd"/>
      <w:r>
        <w:t>, которые, набирая массу, становятся планетами [3, 4]. Предполагается, что звезды с экзопланетами имеют более высокую металличность, что может быть связано с большим количеством материала для формирования планет в диске [5]. В данной работе на основе данных каталога NASA [6] анализируется, как металличность влияет на параметры планет в системах с одной, двумя, тремя и четырьмя звездами.</w:t>
      </w:r>
    </w:p>
    <w:p w14:paraId="3335DC8C" w14:textId="3794C3C0" w:rsidR="00DD7DF6" w:rsidRDefault="00DD7DF6" w:rsidP="00DD7DF6">
      <w:pPr>
        <w:spacing w:after="0"/>
        <w:ind w:firstLine="709"/>
        <w:jc w:val="both"/>
      </w:pPr>
      <w:r>
        <w:t xml:space="preserve"> Из каталога NASA была сформирована выборка планетных систем с разным количеством звезд. </w:t>
      </w:r>
    </w:p>
    <w:p w14:paraId="32B4C9D3" w14:textId="73A2CDF2" w:rsidR="00DD7DF6" w:rsidRDefault="00DD7DF6" w:rsidP="00DD7DF6">
      <w:pPr>
        <w:spacing w:after="0"/>
        <w:ind w:firstLine="709"/>
        <w:jc w:val="both"/>
      </w:pPr>
      <w:r>
        <w:t xml:space="preserve">В системах с одной звездой максимум концентрации приходится на планеты с плотностью ~2 г/см³ и металличностью, близкой к солнечной (0.0 </w:t>
      </w:r>
      <w:proofErr w:type="spellStart"/>
      <w:r>
        <w:t>dex</w:t>
      </w:r>
      <w:proofErr w:type="spellEnd"/>
      <w:r>
        <w:t xml:space="preserve">), что характерно для ледяных/газовых гигантов. В двойных системах максимум смещается в сторону большей металличности (~0.2 </w:t>
      </w:r>
      <w:proofErr w:type="spellStart"/>
      <w:r>
        <w:t>dex</w:t>
      </w:r>
      <w:proofErr w:type="spellEnd"/>
      <w:r>
        <w:t xml:space="preserve">). В тройных системах, помимо гигантов, появляется второй максимум для каменистых планет (плотность ~4 г/см³) при пониженной металличности (~ –0.7 </w:t>
      </w:r>
      <w:proofErr w:type="spellStart"/>
      <w:r>
        <w:t>dex</w:t>
      </w:r>
      <w:proofErr w:type="spellEnd"/>
      <w:r>
        <w:t>). Это позволяет предположить, что при меньшем содержании тяжёлых элементов в звезде, они в большем количестве остаются в диске для формирования плотных планет.</w:t>
      </w:r>
    </w:p>
    <w:p w14:paraId="5CAF7699" w14:textId="175FFBAD" w:rsidR="00DD7DF6" w:rsidRDefault="00DD7DF6" w:rsidP="00DD7DF6">
      <w:pPr>
        <w:spacing w:after="0"/>
        <w:ind w:firstLine="709"/>
        <w:jc w:val="both"/>
      </w:pPr>
      <w:r>
        <w:t xml:space="preserve">Во всех типах систем наблюдается устойчивое разделение планет на две популяции: суперземли </w:t>
      </w:r>
      <w:r>
        <w:rPr>
          <w:rFonts w:cs="Times New Roman"/>
        </w:rPr>
        <w:t>и</w:t>
      </w:r>
      <w:r>
        <w:t xml:space="preserve"> </w:t>
      </w:r>
      <w:r>
        <w:rPr>
          <w:rFonts w:cs="Times New Roman"/>
        </w:rPr>
        <w:t>газовые</w:t>
      </w:r>
      <w:r>
        <w:t xml:space="preserve"> </w:t>
      </w:r>
      <w:r>
        <w:rPr>
          <w:rFonts w:cs="Times New Roman"/>
        </w:rPr>
        <w:t>гиганты</w:t>
      </w:r>
      <w:r>
        <w:t xml:space="preserve">. </w:t>
      </w:r>
      <w:r>
        <w:rPr>
          <w:rFonts w:cs="Times New Roman"/>
        </w:rPr>
        <w:t>Для</w:t>
      </w:r>
      <w:r>
        <w:t xml:space="preserve"> </w:t>
      </w:r>
      <w:r>
        <w:rPr>
          <w:rFonts w:cs="Times New Roman"/>
        </w:rPr>
        <w:t>газовых</w:t>
      </w:r>
      <w:r>
        <w:t xml:space="preserve"> </w:t>
      </w:r>
      <w:r>
        <w:rPr>
          <w:rFonts w:cs="Times New Roman"/>
        </w:rPr>
        <w:t>гигантов</w:t>
      </w:r>
      <w:r>
        <w:t xml:space="preserve"> </w:t>
      </w:r>
      <w:r>
        <w:rPr>
          <w:rFonts w:cs="Times New Roman"/>
        </w:rPr>
        <w:t>максимум</w:t>
      </w:r>
      <w:r>
        <w:t xml:space="preserve"> </w:t>
      </w:r>
      <w:r>
        <w:rPr>
          <w:rFonts w:cs="Times New Roman"/>
        </w:rPr>
        <w:t>концентрации</w:t>
      </w:r>
      <w:r>
        <w:t xml:space="preserve"> </w:t>
      </w:r>
      <w:r>
        <w:rPr>
          <w:rFonts w:cs="Times New Roman"/>
        </w:rPr>
        <w:t>сдвинут</w:t>
      </w:r>
      <w:r>
        <w:t xml:space="preserve"> </w:t>
      </w:r>
      <w:r>
        <w:rPr>
          <w:rFonts w:cs="Times New Roman"/>
        </w:rPr>
        <w:t>в</w:t>
      </w:r>
      <w:r>
        <w:t xml:space="preserve"> </w:t>
      </w:r>
      <w:r>
        <w:rPr>
          <w:rFonts w:cs="Times New Roman"/>
        </w:rPr>
        <w:t>область</w:t>
      </w:r>
      <w:r>
        <w:t xml:space="preserve"> </w:t>
      </w:r>
      <w:r>
        <w:rPr>
          <w:rFonts w:cs="Times New Roman"/>
        </w:rPr>
        <w:t>повышенной</w:t>
      </w:r>
      <w:r>
        <w:t xml:space="preserve"> </w:t>
      </w:r>
      <w:r>
        <w:rPr>
          <w:rFonts w:cs="Times New Roman"/>
        </w:rPr>
        <w:t>металличности</w:t>
      </w:r>
      <w:r>
        <w:t xml:space="preserve"> (0.0</w:t>
      </w:r>
      <w:r>
        <w:rPr>
          <w:rFonts w:cs="Times New Roman"/>
        </w:rPr>
        <w:t>–</w:t>
      </w:r>
      <w:r>
        <w:t xml:space="preserve">0.4 </w:t>
      </w:r>
      <w:proofErr w:type="spellStart"/>
      <w:r>
        <w:t>dex</w:t>
      </w:r>
      <w:proofErr w:type="spellEnd"/>
      <w:r>
        <w:t xml:space="preserve">), </w:t>
      </w:r>
      <w:r>
        <w:rPr>
          <w:rFonts w:cs="Times New Roman"/>
        </w:rPr>
        <w:t>что</w:t>
      </w:r>
      <w:r>
        <w:t xml:space="preserve"> </w:t>
      </w:r>
      <w:r>
        <w:rPr>
          <w:rFonts w:cs="Times New Roman"/>
        </w:rPr>
        <w:t>согласуется</w:t>
      </w:r>
      <w:r>
        <w:t xml:space="preserve"> </w:t>
      </w:r>
      <w:r>
        <w:rPr>
          <w:rFonts w:cs="Times New Roman"/>
        </w:rPr>
        <w:t>с</w:t>
      </w:r>
      <w:r>
        <w:t xml:space="preserve"> </w:t>
      </w:r>
      <w:r>
        <w:rPr>
          <w:rFonts w:cs="Times New Roman"/>
        </w:rPr>
        <w:t>теорией</w:t>
      </w:r>
      <w:r>
        <w:t xml:space="preserve"> </w:t>
      </w:r>
      <w:r>
        <w:rPr>
          <w:rFonts w:cs="Times New Roman"/>
        </w:rPr>
        <w:t>о</w:t>
      </w:r>
      <w:r>
        <w:t xml:space="preserve"> </w:t>
      </w:r>
      <w:r>
        <w:rPr>
          <w:rFonts w:cs="Times New Roman"/>
        </w:rPr>
        <w:t>том</w:t>
      </w:r>
      <w:r>
        <w:t xml:space="preserve">, </w:t>
      </w:r>
      <w:r>
        <w:rPr>
          <w:rFonts w:cs="Times New Roman"/>
        </w:rPr>
        <w:t>что</w:t>
      </w:r>
      <w:r>
        <w:t xml:space="preserve"> </w:t>
      </w:r>
      <w:r>
        <w:rPr>
          <w:rFonts w:cs="Times New Roman"/>
        </w:rPr>
        <w:t>высокое</w:t>
      </w:r>
      <w:r>
        <w:t xml:space="preserve"> </w:t>
      </w:r>
      <w:r>
        <w:rPr>
          <w:rFonts w:cs="Times New Roman"/>
        </w:rPr>
        <w:t>содержание</w:t>
      </w:r>
      <w:r>
        <w:t xml:space="preserve"> </w:t>
      </w:r>
      <w:r>
        <w:rPr>
          <w:rFonts w:cs="Times New Roman"/>
        </w:rPr>
        <w:t>металлов</w:t>
      </w:r>
      <w:r>
        <w:t xml:space="preserve"> </w:t>
      </w:r>
      <w:r>
        <w:rPr>
          <w:rFonts w:cs="Times New Roman"/>
        </w:rPr>
        <w:t>в</w:t>
      </w:r>
      <w:r>
        <w:t xml:space="preserve"> </w:t>
      </w:r>
      <w:r>
        <w:rPr>
          <w:rFonts w:cs="Times New Roman"/>
        </w:rPr>
        <w:t>диске</w:t>
      </w:r>
      <w:r>
        <w:t xml:space="preserve"> </w:t>
      </w:r>
      <w:r>
        <w:rPr>
          <w:rFonts w:cs="Times New Roman"/>
        </w:rPr>
        <w:t>способствует</w:t>
      </w:r>
      <w:r>
        <w:t xml:space="preserve"> </w:t>
      </w:r>
      <w:r>
        <w:rPr>
          <w:rFonts w:cs="Times New Roman"/>
        </w:rPr>
        <w:t>формированию</w:t>
      </w:r>
      <w:r>
        <w:t xml:space="preserve"> </w:t>
      </w:r>
      <w:r>
        <w:rPr>
          <w:rFonts w:cs="Times New Roman"/>
        </w:rPr>
        <w:t>массивных</w:t>
      </w:r>
      <w:r>
        <w:t xml:space="preserve"> </w:t>
      </w:r>
      <w:r>
        <w:rPr>
          <w:rFonts w:cs="Times New Roman"/>
        </w:rPr>
        <w:t>ядер</w:t>
      </w:r>
      <w:r>
        <w:t xml:space="preserve">, </w:t>
      </w:r>
      <w:r>
        <w:rPr>
          <w:rFonts w:cs="Times New Roman"/>
        </w:rPr>
        <w:t>способных</w:t>
      </w:r>
      <w:r>
        <w:t xml:space="preserve"> </w:t>
      </w:r>
      <w:proofErr w:type="spellStart"/>
      <w:r>
        <w:rPr>
          <w:rFonts w:cs="Times New Roman"/>
        </w:rPr>
        <w:t>аккрецировать</w:t>
      </w:r>
      <w:proofErr w:type="spellEnd"/>
      <w:r>
        <w:t xml:space="preserve"> </w:t>
      </w:r>
      <w:r>
        <w:rPr>
          <w:rFonts w:cs="Times New Roman"/>
        </w:rPr>
        <w:t>газ</w:t>
      </w:r>
      <w:r>
        <w:t xml:space="preserve"> [7]. Для популяции суперземель максимум приходится на более низкие значения металличности. Наличие двух четких популяций может свидетельствовать о фундаментальном разрыве в процессах формирования (провал Фултона) [8].</w:t>
      </w:r>
    </w:p>
    <w:p w14:paraId="5265A858" w14:textId="2FA373CA" w:rsidR="00DD7DF6" w:rsidRDefault="00DD7DF6" w:rsidP="00DD7DF6">
      <w:pPr>
        <w:spacing w:after="0"/>
        <w:ind w:firstLine="709"/>
        <w:jc w:val="both"/>
      </w:pPr>
      <w:r>
        <w:t xml:space="preserve">Две известные системы (30 </w:t>
      </w:r>
      <w:proofErr w:type="spellStart"/>
      <w:r>
        <w:t>Ari</w:t>
      </w:r>
      <w:proofErr w:type="spellEnd"/>
      <w:r>
        <w:t xml:space="preserve"> B и PH1) содержат по одной планете-гиганту </w:t>
      </w:r>
      <w:r>
        <w:rPr>
          <w:rFonts w:cs="Times New Roman"/>
        </w:rPr>
        <w:t>и</w:t>
      </w:r>
      <w:r>
        <w:t xml:space="preserve"> </w:t>
      </w:r>
      <w:r>
        <w:rPr>
          <w:rFonts w:cs="Times New Roman"/>
        </w:rPr>
        <w:t>обращаются</w:t>
      </w:r>
      <w:r>
        <w:t xml:space="preserve"> </w:t>
      </w:r>
      <w:r>
        <w:rPr>
          <w:rFonts w:cs="Times New Roman"/>
        </w:rPr>
        <w:t>вокруг</w:t>
      </w:r>
      <w:r>
        <w:t xml:space="preserve"> </w:t>
      </w:r>
      <w:r>
        <w:rPr>
          <w:rFonts w:cs="Times New Roman"/>
        </w:rPr>
        <w:t>звезд</w:t>
      </w:r>
      <w:r>
        <w:t xml:space="preserve"> </w:t>
      </w:r>
      <w:r>
        <w:rPr>
          <w:rFonts w:cs="Times New Roman"/>
        </w:rPr>
        <w:t>с</w:t>
      </w:r>
      <w:r>
        <w:t xml:space="preserve"> </w:t>
      </w:r>
      <w:r>
        <w:rPr>
          <w:rFonts w:cs="Times New Roman"/>
        </w:rPr>
        <w:t>металличностью</w:t>
      </w:r>
      <w:r>
        <w:t xml:space="preserve"> (~0.2 </w:t>
      </w:r>
      <w:proofErr w:type="spellStart"/>
      <w:r>
        <w:t>dex</w:t>
      </w:r>
      <w:proofErr w:type="spellEnd"/>
      <w:r>
        <w:t xml:space="preserve">), </w:t>
      </w:r>
      <w:r>
        <w:rPr>
          <w:rFonts w:cs="Times New Roman"/>
        </w:rPr>
        <w:t>превышающей</w:t>
      </w:r>
      <w:r>
        <w:t xml:space="preserve"> </w:t>
      </w:r>
      <w:r>
        <w:rPr>
          <w:rFonts w:cs="Times New Roman"/>
        </w:rPr>
        <w:t>солнечную</w:t>
      </w:r>
      <w:r>
        <w:t xml:space="preserve">, </w:t>
      </w:r>
      <w:r>
        <w:rPr>
          <w:rFonts w:cs="Times New Roman"/>
        </w:rPr>
        <w:t>что</w:t>
      </w:r>
      <w:r>
        <w:t xml:space="preserve"> </w:t>
      </w:r>
      <w:r>
        <w:rPr>
          <w:rFonts w:cs="Times New Roman"/>
        </w:rPr>
        <w:t>согласуется</w:t>
      </w:r>
      <w:r>
        <w:t xml:space="preserve"> </w:t>
      </w:r>
      <w:r>
        <w:rPr>
          <w:rFonts w:cs="Times New Roman"/>
        </w:rPr>
        <w:t>с</w:t>
      </w:r>
      <w:r>
        <w:t xml:space="preserve"> </w:t>
      </w:r>
      <w:r>
        <w:rPr>
          <w:rFonts w:cs="Times New Roman"/>
        </w:rPr>
        <w:t>общими</w:t>
      </w:r>
      <w:r>
        <w:t xml:space="preserve"> </w:t>
      </w:r>
      <w:r>
        <w:rPr>
          <w:rFonts w:cs="Times New Roman"/>
        </w:rPr>
        <w:t>закономерностями</w:t>
      </w:r>
      <w:r>
        <w:t>.</w:t>
      </w:r>
    </w:p>
    <w:p w14:paraId="67124C68" w14:textId="2C9DEB2B" w:rsidR="00DD7DF6" w:rsidRDefault="00DD7DF6" w:rsidP="00DD7DF6">
      <w:pPr>
        <w:spacing w:after="0"/>
        <w:ind w:firstLine="709"/>
        <w:jc w:val="both"/>
      </w:pPr>
      <w:r>
        <w:t xml:space="preserve">Анализ показывает сложную взаимосвязь между металличностью и параметрами планет. Повышенная металличность коррелирует с наличием газовых гигантов. В то же время, формирование каменистых планет может быть благоприятным и при пониженной металличности, особенно в кратных звездных системах. Устойчивое разделение планет на две популяции по радиусу указывает на существование двух основных путей </w:t>
      </w:r>
      <w:proofErr w:type="spellStart"/>
      <w:r>
        <w:t>планетообразования</w:t>
      </w:r>
      <w:proofErr w:type="spellEnd"/>
      <w:r>
        <w:t>.</w:t>
      </w:r>
    </w:p>
    <w:p w14:paraId="440A0E9E" w14:textId="4153A1D8" w:rsidR="00DD7DF6" w:rsidRDefault="00DD7DF6">
      <w:pPr>
        <w:spacing w:line="259" w:lineRule="auto"/>
      </w:pPr>
      <w:r>
        <w:br w:type="page"/>
      </w:r>
    </w:p>
    <w:p w14:paraId="50DF9F43" w14:textId="5F3E7EF3" w:rsidR="00DD7DF6" w:rsidRPr="00DD7DF6" w:rsidRDefault="00DD7DF6" w:rsidP="00DD7DF6">
      <w:pPr>
        <w:spacing w:after="0"/>
        <w:ind w:firstLine="709"/>
        <w:jc w:val="both"/>
        <w:rPr>
          <w:b/>
          <w:bCs/>
          <w:lang w:val="en-US"/>
        </w:rPr>
      </w:pPr>
      <w:r w:rsidRPr="00DD7DF6">
        <w:rPr>
          <w:b/>
          <w:bCs/>
        </w:rPr>
        <w:lastRenderedPageBreak/>
        <w:t>Список</w:t>
      </w:r>
      <w:r w:rsidRPr="00DD7DF6">
        <w:rPr>
          <w:b/>
          <w:bCs/>
          <w:lang w:val="en-US"/>
        </w:rPr>
        <w:t xml:space="preserve"> </w:t>
      </w:r>
      <w:r w:rsidRPr="00DD7DF6">
        <w:rPr>
          <w:b/>
          <w:bCs/>
        </w:rPr>
        <w:t>литературы</w:t>
      </w:r>
      <w:r w:rsidRPr="00DD7DF6">
        <w:rPr>
          <w:b/>
          <w:bCs/>
          <w:lang w:val="en-US"/>
        </w:rPr>
        <w:t>:</w:t>
      </w:r>
    </w:p>
    <w:p w14:paraId="2DED9B57" w14:textId="1D493B62" w:rsidR="00DD7DF6" w:rsidRPr="00DD7DF6" w:rsidRDefault="00DD7DF6" w:rsidP="00DD7DF6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>[</w:t>
      </w:r>
      <w:r w:rsidRPr="00DD7DF6">
        <w:rPr>
          <w:lang w:val="en-US"/>
        </w:rPr>
        <w:t>1</w:t>
      </w:r>
      <w:r>
        <w:rPr>
          <w:lang w:val="en-US"/>
        </w:rPr>
        <w:t>]</w:t>
      </w:r>
      <w:r w:rsidRPr="00DD7DF6">
        <w:rPr>
          <w:lang w:val="en-US"/>
        </w:rPr>
        <w:t xml:space="preserve">  </w:t>
      </w:r>
      <w:proofErr w:type="spellStart"/>
      <w:r w:rsidRPr="00DD7DF6">
        <w:rPr>
          <w:lang w:val="en-US"/>
        </w:rPr>
        <w:t>Udry</w:t>
      </w:r>
      <w:proofErr w:type="spellEnd"/>
      <w:r w:rsidRPr="00DD7DF6">
        <w:rPr>
          <w:lang w:val="en-US"/>
        </w:rPr>
        <w:t xml:space="preserve"> S., Santos N. C. Statistical Properties of Exoplanets // Annu. Rev. Astron. Astrophys. 2007. V. 45. P. 397–439.</w:t>
      </w:r>
    </w:p>
    <w:p w14:paraId="0F6D35D2" w14:textId="2EB8DAEC" w:rsidR="00DD7DF6" w:rsidRPr="00DD7DF6" w:rsidRDefault="00DD7DF6" w:rsidP="00DD7DF6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>[</w:t>
      </w:r>
      <w:r w:rsidRPr="00DD7DF6">
        <w:rPr>
          <w:lang w:val="en-US"/>
        </w:rPr>
        <w:t>2</w:t>
      </w:r>
      <w:r>
        <w:rPr>
          <w:lang w:val="en-US"/>
        </w:rPr>
        <w:t>]</w:t>
      </w:r>
      <w:r w:rsidRPr="00DD7DF6">
        <w:rPr>
          <w:lang w:val="en-US"/>
        </w:rPr>
        <w:t xml:space="preserve">  Williams J. P., Cieza L. A. Protoplanetary Disks and Their Evolution // Annu. Rev. Astron. Astrophys. 2011. V. 49. P. 67–117.</w:t>
      </w:r>
    </w:p>
    <w:p w14:paraId="6BB66B44" w14:textId="0502323A" w:rsidR="00DD7DF6" w:rsidRPr="00DD7DF6" w:rsidRDefault="00DD7DF6" w:rsidP="00DD7DF6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>[</w:t>
      </w:r>
      <w:r w:rsidRPr="00DD7DF6">
        <w:rPr>
          <w:lang w:val="en-US"/>
        </w:rPr>
        <w:t>3</w:t>
      </w:r>
      <w:r>
        <w:rPr>
          <w:lang w:val="en-US"/>
        </w:rPr>
        <w:t>]</w:t>
      </w:r>
      <w:r w:rsidRPr="00DD7DF6">
        <w:rPr>
          <w:lang w:val="en-US"/>
        </w:rPr>
        <w:t xml:space="preserve">  </w:t>
      </w:r>
      <w:proofErr w:type="spellStart"/>
      <w:r w:rsidRPr="00DD7DF6">
        <w:rPr>
          <w:lang w:val="en-US"/>
        </w:rPr>
        <w:t>Zabrodin</w:t>
      </w:r>
      <w:proofErr w:type="spellEnd"/>
      <w:r w:rsidRPr="00DD7DF6">
        <w:rPr>
          <w:lang w:val="en-US"/>
        </w:rPr>
        <w:t xml:space="preserve"> A. V., et al. Some models of proto-planet disk of the Sun at an initial stage of it evolution. </w:t>
      </w:r>
      <w:r>
        <w:t>Препринт</w:t>
      </w:r>
      <w:r w:rsidRPr="00DD7DF6">
        <w:rPr>
          <w:lang w:val="en-US"/>
        </w:rPr>
        <w:t xml:space="preserve"> </w:t>
      </w:r>
      <w:r>
        <w:t>ИПМ</w:t>
      </w:r>
      <w:r w:rsidRPr="00DD7DF6">
        <w:rPr>
          <w:lang w:val="en-US"/>
        </w:rPr>
        <w:t xml:space="preserve"> </w:t>
      </w:r>
      <w:r>
        <w:t>РАН</w:t>
      </w:r>
      <w:r w:rsidRPr="00DD7DF6">
        <w:rPr>
          <w:lang w:val="en-US"/>
        </w:rPr>
        <w:t>. 2006.</w:t>
      </w:r>
    </w:p>
    <w:p w14:paraId="503DEF76" w14:textId="2983F0BC" w:rsidR="00DD7DF6" w:rsidRPr="00DD7DF6" w:rsidRDefault="00DD7DF6" w:rsidP="00DD7DF6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>[</w:t>
      </w:r>
      <w:r w:rsidRPr="00DD7DF6">
        <w:rPr>
          <w:lang w:val="en-US"/>
        </w:rPr>
        <w:t>4</w:t>
      </w:r>
      <w:r>
        <w:rPr>
          <w:lang w:val="en-US"/>
        </w:rPr>
        <w:t>]</w:t>
      </w:r>
      <w:r w:rsidRPr="00DD7DF6">
        <w:rPr>
          <w:lang w:val="en-US"/>
        </w:rPr>
        <w:t xml:space="preserve">  Bartram P. Pushing the Envelope of Exoplanet Evolution Modelling: </w:t>
      </w:r>
      <w:proofErr w:type="spellStart"/>
      <w:r>
        <w:t>дис</w:t>
      </w:r>
      <w:proofErr w:type="spellEnd"/>
      <w:r w:rsidRPr="00DD7DF6">
        <w:rPr>
          <w:lang w:val="en-US"/>
        </w:rPr>
        <w:t xml:space="preserve">. … </w:t>
      </w:r>
      <w:r>
        <w:t>д</w:t>
      </w:r>
      <w:r w:rsidRPr="00DD7DF6">
        <w:rPr>
          <w:lang w:val="en-US"/>
        </w:rPr>
        <w:t>-</w:t>
      </w:r>
      <w:proofErr w:type="spellStart"/>
      <w:r>
        <w:t>ра</w:t>
      </w:r>
      <w:proofErr w:type="spellEnd"/>
      <w:r w:rsidRPr="00DD7DF6">
        <w:rPr>
          <w:lang w:val="en-US"/>
        </w:rPr>
        <w:t xml:space="preserve"> </w:t>
      </w:r>
      <w:r>
        <w:t>философии</w:t>
      </w:r>
      <w:r w:rsidRPr="00DD7DF6">
        <w:rPr>
          <w:lang w:val="en-US"/>
        </w:rPr>
        <w:t>. University of Southampton, 2021.</w:t>
      </w:r>
    </w:p>
    <w:p w14:paraId="73186119" w14:textId="08E4BDE0" w:rsidR="00DD7DF6" w:rsidRPr="00DD7DF6" w:rsidRDefault="00DD7DF6" w:rsidP="00DD7DF6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>[</w:t>
      </w:r>
      <w:r w:rsidRPr="00DD7DF6">
        <w:rPr>
          <w:lang w:val="en-US"/>
        </w:rPr>
        <w:t>5</w:t>
      </w:r>
      <w:r>
        <w:rPr>
          <w:lang w:val="en-US"/>
        </w:rPr>
        <w:t>]</w:t>
      </w:r>
      <w:r w:rsidRPr="00DD7DF6">
        <w:rPr>
          <w:lang w:val="en-US"/>
        </w:rPr>
        <w:t xml:space="preserve">  Fischer D. A., Valenti J. The Planet-Metallicity Correlation // The Astrophysical Journal. 2005. V. 622. P. 1102–1117.</w:t>
      </w:r>
    </w:p>
    <w:p w14:paraId="0951F71E" w14:textId="2D197CA8" w:rsidR="00DD7DF6" w:rsidRPr="00DD7DF6" w:rsidRDefault="00DD7DF6" w:rsidP="00DD7DF6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>[</w:t>
      </w:r>
      <w:r w:rsidRPr="00DD7DF6">
        <w:rPr>
          <w:lang w:val="en-US"/>
        </w:rPr>
        <w:t>6</w:t>
      </w:r>
      <w:r>
        <w:rPr>
          <w:lang w:val="en-US"/>
        </w:rPr>
        <w:t>]</w:t>
      </w:r>
      <w:r w:rsidRPr="00DD7DF6">
        <w:rPr>
          <w:lang w:val="en-US"/>
        </w:rPr>
        <w:t xml:space="preserve">  </w:t>
      </w:r>
      <w:r>
        <w:t>Открытый</w:t>
      </w:r>
      <w:r w:rsidRPr="00DD7DF6">
        <w:rPr>
          <w:lang w:val="en-US"/>
        </w:rPr>
        <w:t xml:space="preserve"> </w:t>
      </w:r>
      <w:r>
        <w:t>каталог</w:t>
      </w:r>
      <w:r w:rsidRPr="00DD7DF6">
        <w:rPr>
          <w:lang w:val="en-US"/>
        </w:rPr>
        <w:t xml:space="preserve"> NASA Exoplanet Archive.</w:t>
      </w:r>
    </w:p>
    <w:p w14:paraId="2881F744" w14:textId="21E887F7" w:rsidR="00DD7DF6" w:rsidRDefault="00DD7DF6" w:rsidP="00DD7DF6">
      <w:pPr>
        <w:spacing w:after="0"/>
        <w:ind w:firstLine="709"/>
        <w:jc w:val="both"/>
      </w:pPr>
      <w:r>
        <w:rPr>
          <w:lang w:val="en-US"/>
        </w:rPr>
        <w:t>[</w:t>
      </w:r>
      <w:r w:rsidRPr="00DD7DF6">
        <w:rPr>
          <w:lang w:val="en-US"/>
        </w:rPr>
        <w:t>7</w:t>
      </w:r>
      <w:r>
        <w:rPr>
          <w:lang w:val="en-US"/>
        </w:rPr>
        <w:t>]</w:t>
      </w:r>
      <w:r w:rsidRPr="00DD7DF6">
        <w:rPr>
          <w:lang w:val="en-US"/>
        </w:rPr>
        <w:t xml:space="preserve">  </w:t>
      </w:r>
      <w:proofErr w:type="spellStart"/>
      <w:r w:rsidRPr="00DD7DF6">
        <w:rPr>
          <w:lang w:val="en-US"/>
        </w:rPr>
        <w:t>Adibekyan</w:t>
      </w:r>
      <w:proofErr w:type="spellEnd"/>
      <w:r w:rsidRPr="00DD7DF6">
        <w:rPr>
          <w:lang w:val="en-US"/>
        </w:rPr>
        <w:t xml:space="preserve"> V. Heavy Metal Rules. I. Exoplanet Incidence and Metallicity // Geosciences. </w:t>
      </w:r>
      <w:r>
        <w:t>2019. V. 9(3). P. 105.</w:t>
      </w:r>
    </w:p>
    <w:p w14:paraId="3C2CAE58" w14:textId="25DA7785" w:rsidR="00F12C76" w:rsidRDefault="00DD7DF6" w:rsidP="00DD7DF6">
      <w:pPr>
        <w:spacing w:after="0"/>
        <w:ind w:firstLine="709"/>
        <w:jc w:val="both"/>
      </w:pPr>
      <w:r>
        <w:rPr>
          <w:lang w:val="en-US"/>
        </w:rPr>
        <w:t>[</w:t>
      </w:r>
      <w:r w:rsidRPr="00DD7DF6">
        <w:rPr>
          <w:lang w:val="en-US"/>
        </w:rPr>
        <w:t>8</w:t>
      </w:r>
      <w:r>
        <w:rPr>
          <w:lang w:val="en-US"/>
        </w:rPr>
        <w:t>]</w:t>
      </w:r>
      <w:r w:rsidRPr="00DD7DF6">
        <w:rPr>
          <w:lang w:val="en-US"/>
        </w:rPr>
        <w:t xml:space="preserve">  Fulton B. J., Petigura E. A. The California-Kepler Survey. VII. ... The Astronomical Journal. 2018. V. 156. </w:t>
      </w:r>
      <w:r>
        <w:t>№ 6. P. 264.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DF6"/>
    <w:rsid w:val="00000319"/>
    <w:rsid w:val="006C0B77"/>
    <w:rsid w:val="008242FF"/>
    <w:rsid w:val="00870751"/>
    <w:rsid w:val="00922C48"/>
    <w:rsid w:val="00B915B7"/>
    <w:rsid w:val="00C74593"/>
    <w:rsid w:val="00CE7DA5"/>
    <w:rsid w:val="00DD7DF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BF96"/>
  <w15:chartTrackingRefBased/>
  <w15:docId w15:val="{11E763B9-1D73-49EF-93E2-DF6BB836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D7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D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D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D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D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D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D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D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DF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7D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7DF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7DF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D7DF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D7DF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D7DF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D7DF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D7DF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D7D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7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D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7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7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7DF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D7D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7DF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7DF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7DF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D7DF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 Буслаева</dc:creator>
  <cp:keywords/>
  <dc:description/>
  <cp:lastModifiedBy>Эльза Буслаева</cp:lastModifiedBy>
  <cp:revision>1</cp:revision>
  <dcterms:created xsi:type="dcterms:W3CDTF">2026-03-01T19:31:00Z</dcterms:created>
  <dcterms:modified xsi:type="dcterms:W3CDTF">2026-03-01T19:36:00Z</dcterms:modified>
</cp:coreProperties>
</file>