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8F" w:rsidRPr="0074248F" w:rsidRDefault="0074248F" w:rsidP="00155F20">
      <w:pPr>
        <w:shd w:val="clear" w:color="auto" w:fill="FFFFFF"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Новый эффект в спиновых осцилляциях нейтрино в поперечных токах среды с нестандартными взаимодействиями</w:t>
      </w:r>
    </w:p>
    <w:p w:rsidR="00155F20" w:rsidRPr="00F718A9" w:rsidRDefault="00155F20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F718A9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Козловская Инн</w:t>
      </w:r>
      <w:r w:rsidR="0074248F" w:rsidRPr="00F718A9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а Сергеевна</w:t>
      </w:r>
    </w:p>
    <w:p w:rsidR="00155F20" w:rsidRPr="00F718A9" w:rsidRDefault="0074248F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</w:pPr>
      <w:r w:rsidRP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Студент</w:t>
      </w:r>
    </w:p>
    <w:p w:rsidR="00155F20" w:rsidRPr="00F718A9" w:rsidRDefault="00155F20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Филиал МГУ имени М. В. Ломоносова в Сарове,</w:t>
      </w:r>
      <w:r w:rsidR="00F718A9" w:rsidRP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направление физика</w:t>
      </w:r>
      <w:r w:rsidR="00F718A9" w:rsidRP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Pr="00F718A9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Саров, Россия</w:t>
      </w:r>
    </w:p>
    <w:p w:rsidR="0074248F" w:rsidRPr="00F718A9" w:rsidRDefault="0074248F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F718A9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E-</w:t>
      </w:r>
      <w:proofErr w:type="spellStart"/>
      <w:r w:rsidRPr="00F718A9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mail</w:t>
      </w:r>
      <w:proofErr w:type="spellEnd"/>
      <w:r w:rsidRPr="00F718A9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: </w:t>
      </w:r>
      <w:proofErr w:type="spellStart"/>
      <w:r w:rsidR="00155F20" w:rsidRPr="00F718A9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ko</w:t>
      </w:r>
      <w:proofErr w:type="spellEnd"/>
      <w:r w:rsidR="00155F20" w:rsidRPr="00F718A9">
        <w:rPr>
          <w:rFonts w:ascii="Times New Roman" w:eastAsia="Times New Roman" w:hAnsi="Times New Roman" w:cs="Times New Roman"/>
          <w:i/>
          <w:color w:val="262633"/>
          <w:sz w:val="24"/>
          <w:szCs w:val="24"/>
          <w:lang w:val="en-US" w:eastAsia="ru-RU"/>
        </w:rPr>
        <w:t>z</w:t>
      </w:r>
      <w:r w:rsidR="00155F20" w:rsidRPr="00F718A9">
        <w:rPr>
          <w:rFonts w:ascii="Times New Roman" w:eastAsia="Times New Roman" w:hAnsi="Times New Roman" w:cs="Times New Roman"/>
          <w:i/>
          <w:color w:val="262633"/>
          <w:sz w:val="24"/>
          <w:szCs w:val="24"/>
          <w:lang w:eastAsia="ru-RU"/>
        </w:rPr>
        <w:t>lovskayais@my.msu.ru</w:t>
      </w:r>
    </w:p>
    <w:p w:rsidR="00980591" w:rsidRDefault="0074248F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</w:pPr>
      <w:r w:rsidRPr="00AA33C0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Научный руководитель — </w:t>
      </w:r>
      <w:proofErr w:type="spellStart"/>
      <w:r w:rsidRPr="00AA33C0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Студеникин</w:t>
      </w:r>
      <w:proofErr w:type="spellEnd"/>
      <w:r w:rsidRPr="00AA33C0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 Александр Иванович</w:t>
      </w:r>
      <w:r w:rsidR="00980591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,</w:t>
      </w:r>
    </w:p>
    <w:p w:rsidR="0074248F" w:rsidRPr="00980591" w:rsidRDefault="00980591" w:rsidP="00155F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980591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 </w:t>
      </w:r>
      <w:r w:rsidRPr="00EE23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профессор</w:t>
      </w:r>
      <w:r w:rsidRPr="00EE23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EE23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физического факультета МГУ </w:t>
      </w:r>
    </w:p>
    <w:p w:rsidR="0074248F" w:rsidRPr="0074248F" w:rsidRDefault="0074248F" w:rsidP="00155F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Нейтрино играют ключевую роль в поиске физики за пределами Стандартной модели</w:t>
      </w:r>
      <w:r w:rsidR="0007370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связано с наблюдением нейтринных осцилляций, свидетельствующих о наличии у нейтрино ненулевой массы</w:t>
      </w:r>
      <w:r w:rsidR="004544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что не может быть объяснено в рамках Стандартной модели. </w:t>
      </w:r>
      <w:r w:rsidR="002E39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2E39F6" w:rsidRPr="002E39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экстремальных астрофизических условиях, таких как окрестности нейтронных звёзд или процессы их слияния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(см., например, </w:t>
      </w:r>
      <w:r w:rsidR="00F2372F"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[1])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 эволюцию нейтрино существенно влияют не только магнитные поля, но и движение плотной сре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ды. В р</w:t>
      </w:r>
      <w:r w:rsidR="00F2372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</w:t>
      </w:r>
      <w:r w:rsidR="00F2372F"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2] (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см. также [3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="00F2372F"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было предсказано, что </w:t>
      </w:r>
      <w:r w:rsidR="00F2372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поперечные относительно направления распространения 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нейтрино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токи вещества могут индуцировать принципиально новый тип спиновых осцилляций нейтрино.</w:t>
      </w:r>
    </w:p>
    <w:p w:rsidR="0074248F" w:rsidRDefault="0074248F" w:rsidP="00155F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2372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</w:t>
      </w:r>
      <w:r w:rsidR="00F2372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работе </w:t>
      </w:r>
      <w:r w:rsidR="00FC2F8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было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проведено последовательное квантово-механическое исследование спиновых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ν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e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L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lang w:eastAsia="ru-RU"/>
          </w:rPr>
          <m:t>→</m:t>
        </m:r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ν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e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R</m:t>
            </m:r>
          </m:sup>
        </m:sSubSup>
      </m:oMath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​) и спин-</w:t>
      </w:r>
      <w:proofErr w:type="spellStart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флейворных</w:t>
      </w:r>
      <w:proofErr w:type="spellEnd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ν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e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L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color w:val="0F1115"/>
            <w:sz w:val="24"/>
            <w:szCs w:val="24"/>
            <w:bdr w:val="none" w:sz="0" w:space="0" w:color="auto" w:frame="1"/>
            <w:lang w:eastAsia="ru-RU"/>
          </w:rPr>
          <m:t>→</m:t>
        </m:r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μ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sz w:val="24"/>
                <w:szCs w:val="24"/>
                <w:bdr w:val="none" w:sz="0" w:space="0" w:color="auto" w:frame="1"/>
                <w:lang w:eastAsia="ru-RU"/>
              </w:rPr>
              <m:t>R</m:t>
            </m:r>
          </m:sup>
        </m:sSubSup>
      </m:oMath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​) осцилляций нейтрино, </w:t>
      </w:r>
      <w:r w:rsidR="000108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вызванных</w:t>
      </w:r>
      <w:r w:rsidR="00FC2F8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действием токов среды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FC2F8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также было рассмотрено влияние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нестандартных взаимодействий (NSI)</w:t>
      </w:r>
      <w:r w:rsidR="00670F9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C2F8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осцилляции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Эволюция нейтрино в веществе, состоящем из нейтронов, движущихся с продольной и поперечной скоростью, описывае</w:t>
      </w:r>
      <w:r w:rsidR="00A018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тся эффективным гамильтонианом:</w:t>
      </w:r>
    </w:p>
    <w:p w:rsidR="00A01812" w:rsidRPr="00A01812" w:rsidRDefault="00880DCB" w:rsidP="00A018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int</m:t>
              </m:r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 =-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μ</m:t>
              </m:r>
            </m:sup>
          </m:sSup>
          <m:nary>
            <m:naryPr>
              <m:chr m:val="∑"/>
              <m:supHide m:val="1"/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l</m:t>
              </m:r>
            </m:sub>
            <m:sup/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l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μ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l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</m:e>
          </m:nary>
        </m:oMath>
      </m:oMathPara>
    </w:p>
    <w:p w:rsidR="00A01812" w:rsidRPr="00A01812" w:rsidRDefault="00A01812" w:rsidP="00A018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ParaPr>
          <m:jc m:val="centerGroup"/>
        </m:oMathParaPr>
        <m:oMath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=-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μ</m:t>
              </m:r>
            </m:sup>
          </m:sSup>
          <m:nary>
            <m:naryPr>
              <m:chr m:val="∑"/>
              <m:supHide m:val="1"/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i</m:t>
              </m:r>
            </m:sub>
            <m:sup/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i</m:t>
                      </m:r>
                    </m:sub>
                  </m:sSub>
                </m:e>
              </m:acc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γ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μ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5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x</m:t>
                  </m:r>
                </m:e>
              </m:d>
            </m:e>
          </m:nary>
        </m:oMath>
      </m:oMathPara>
    </w:p>
    <w:p w:rsidR="00A01812" w:rsidRPr="00A01812" w:rsidRDefault="00880DCB" w:rsidP="00A018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m:oMathPara>
        <m:oMathParaPr>
          <m:jc m:val="centerGroup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f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μ</m:t>
              </m:r>
            </m:sup>
          </m:sSup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=-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F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e>
              </m:rad>
            </m:den>
          </m:f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n(1,</m:t>
          </m:r>
          <m:r>
            <m:rPr>
              <m:sty m:val="b"/>
            </m:rP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v</m:t>
          </m:r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)</m:t>
          </m:r>
        </m:oMath>
      </m:oMathPara>
    </w:p>
    <w:p w:rsidR="000108FD" w:rsidRDefault="0074248F" w:rsidP="00A018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Нами были получены </w:t>
      </w:r>
      <w:r w:rsidR="009805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исследованы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аналитические выражения для полных вероятностей переходов под действием продольных и поперечных токов</w:t>
      </w:r>
      <w:r w:rsidR="009805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80591" w:rsidRPr="009805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9805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см. также </w:t>
      </w:r>
      <w:r w:rsidR="00980591" w:rsidRPr="009805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[3]</w:t>
      </w:r>
      <w:r w:rsidR="002110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частности, вероятность спинового перехода для случая с NSI имеет вид:</w:t>
      </w:r>
    </w:p>
    <w:p w:rsidR="00A01812" w:rsidRPr="00A01812" w:rsidRDefault="00880DCB" w:rsidP="00A01812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Cs/>
          <w:color w:val="0F1115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P</m:t>
              </m:r>
            </m:e>
            <m:sub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e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L</m:t>
                  </m:r>
                </m:sup>
              </m:sSub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→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ν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e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R</m:t>
                  </m:r>
                </m:sup>
              </m:sSubSup>
            </m:sub>
          </m:sSub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G</m:t>
                          </m:r>
                        </m:e>
                      </m:acc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⊥</m:t>
                          </m:r>
                        </m:sub>
                      </m:s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γ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21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iCs/>
                                              <w:color w:val="0F1115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η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γ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iCs/>
                                              <w:color w:val="0F1115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η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γ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μμ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0F1115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η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0F1115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γ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μ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G</m:t>
                          </m:r>
                        </m:e>
                      </m:acc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⊥</m:t>
                          </m:r>
                        </m:sub>
                      </m:sSub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γ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21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iCs/>
                                              <w:color w:val="0F1115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η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γ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iCs/>
                                              <w:color w:val="0F1115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η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Times New Roman" w:hAnsi="Cambria Math" w:cs="Times New Roman"/>
                                              <w:color w:val="0F1115"/>
                                              <w:sz w:val="24"/>
                                              <w:szCs w:val="24"/>
                                              <w:lang w:val="en-US" w:eastAsia="ru-RU"/>
                                            </w:rPr>
                                            <m:t>γ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Times New Roman"/>
                                      <w:color w:val="0F1115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μμ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color w:val="0F1115"/>
                                      <w:sz w:val="24"/>
                                      <w:szCs w:val="24"/>
                                      <w:lang w:eastAsia="ru-RU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color w:val="0F1115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0F1115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η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Times New Roman"/>
                                          <w:color w:val="0F1115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γ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μ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F1115"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G</m:t>
                          </m:r>
                        </m:e>
                      </m:acc>
                      <m:r>
                        <w:rPr>
                          <w:rFonts w:ascii="Cambria Math" w:eastAsia="Times New Roman" w:hAnsi="Cambria Math" w:cs="Times New Roman"/>
                          <w:color w:val="0F1115"/>
                          <w:sz w:val="24"/>
                          <w:szCs w:val="24"/>
                          <w:lang w:val="en-US" w:eastAsia="ru-RU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1+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ϵ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ee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color w:val="0F1115"/>
                              <w:sz w:val="24"/>
                              <w:szCs w:val="24"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F1115"/>
                              <w:sz w:val="24"/>
                              <w:szCs w:val="24"/>
                              <w:lang w:val="en-US" w:eastAsia="ru-RU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color w:val="0F1115"/>
                                  <w:sz w:val="24"/>
                                  <w:szCs w:val="24"/>
                                  <w:lang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color w:val="0F1115"/>
                                  <w:sz w:val="24"/>
                                  <w:szCs w:val="24"/>
                                  <w:lang w:val="en-US" w:eastAsia="ru-RU"/>
                                </w:rPr>
                                <m:t>∥</m:t>
                              </m:r>
                            </m:sub>
                          </m:sSub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F1115"/>
              <w:sz w:val="24"/>
              <w:szCs w:val="24"/>
              <w:lang w:val="en-US" w:eastAsia="ru-RU"/>
            </w:rPr>
            <m:t>si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n</m:t>
              </m:r>
            </m:e>
            <m:sup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iCs/>
                  <w:color w:val="0F1115"/>
                  <w:sz w:val="24"/>
                  <w:szCs w:val="24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F1115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ω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F1115"/>
                      <w:sz w:val="24"/>
                      <w:szCs w:val="24"/>
                      <w:lang w:val="en-US" w:eastAsia="ru-RU"/>
                    </w:rPr>
                    <m:t>s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F1115"/>
                  <w:sz w:val="24"/>
                  <w:szCs w:val="24"/>
                  <w:lang w:val="en-US" w:eastAsia="ru-RU"/>
                </w:rPr>
                <m:t>x</m:t>
              </m:r>
            </m:e>
          </m:d>
        </m:oMath>
      </m:oMathPara>
    </w:p>
    <w:p w:rsidR="000108FD" w:rsidRDefault="000108FD" w:rsidP="00155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Также было получено аналитическое выражение для резонансной плот</w:t>
      </w:r>
      <w:r w:rsidR="00980591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ности среды при эффекте </w:t>
      </w:r>
      <w:r w:rsidR="00980591" w:rsidRPr="00211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Михеева-Смирнова-</w:t>
      </w:r>
      <w:proofErr w:type="spellStart"/>
      <w:r w:rsidRPr="002110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Вольфенштейна</w:t>
      </w:r>
      <w:proofErr w:type="spellEnd"/>
      <w:r w:rsidRPr="0098059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 xml:space="preserve">с учетом токов среды и </w:t>
      </w:r>
      <w:r w:rsidR="002E39F6"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val="en-US" w:eastAsia="ru-RU"/>
        </w:rPr>
        <w:t>NSI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  <w:t>:</w:t>
      </w:r>
    </w:p>
    <w:p w:rsidR="003136A3" w:rsidRDefault="003136A3" w:rsidP="00155F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  <w:lang w:eastAsia="ru-RU"/>
        </w:rPr>
      </w:pPr>
    </w:p>
    <w:p w:rsidR="002C25B2" w:rsidRPr="0074248F" w:rsidRDefault="00880DCB" w:rsidP="0015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n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R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l-GR" w:eastAsia="ru-RU"/>
                </w:rPr>
                <m:t>Δ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m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cos2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l-GR" w:eastAsia="ru-RU"/>
                </w:rPr>
                <m:t>Θ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2E</m:t>
              </m:r>
              <m:acc>
                <m:accPr>
                  <m:chr m:val="̃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G</m:t>
                  </m:r>
                </m:e>
              </m:acc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4"/>
                      <w:szCs w:val="24"/>
                      <w:lang w:val="en-US" w:eastAsia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en-US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1-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∥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en-US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1+</m:t>
                          </m:r>
                          <m:acc>
                            <m:accPr>
                              <m:chr m:val="̃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m:t>ee</m:t>
                                  </m:r>
                                </m:sub>
                              </m:sSub>
                            </m:e>
                          </m:acc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szCs w:val="24"/>
                              <w:lang w:val="en-US"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η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γ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eμ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⊥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iCs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1+</m:t>
                              </m:r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iCs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iCs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ϵ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4"/>
                                          <w:szCs w:val="24"/>
                                          <w:lang w:val="en-US" w:eastAsia="ru-RU"/>
                                        </w:rPr>
                                        <m:t>eμ</m:t>
                                      </m:r>
                                    </m:sub>
                                  </m:sSub>
                                </m:e>
                              </m:acc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74248F" w:rsidRPr="0074248F" w:rsidRDefault="00FC2F81" w:rsidP="00155F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Значительное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внимание в работе </w:t>
      </w:r>
      <w:r w:rsidR="002E39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было 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уделено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получению численных оценок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качестве модельной среды рассматривались условия, характерные для сценария слияния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остатков</w:t>
      </w:r>
      <w:r w:rsidR="00FC05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двух нейтронных звёзд </w:t>
      </w:r>
      <w:r w:rsidR="00FC0525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980591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248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]: </w:t>
      </w:r>
      <w:bookmarkStart w:id="0" w:name="_GoBack"/>
      <w:bookmarkEnd w:id="0"/>
    </w:p>
    <w:p w:rsidR="00A7744B" w:rsidRDefault="00880DCB" w:rsidP="00880DCB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6.15pt;height:169.9pt">
            <v:imagedata r:id="rId6" o:title="001"/>
          </v:shape>
        </w:pic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pict>
          <v:shape id="_x0000_i1032" type="#_x0000_t75" style="width:231.4pt;height:173.25pt">
            <v:imagedata r:id="rId7" o:title="002"/>
          </v:shape>
        </w:pict>
      </w:r>
    </w:p>
    <w:p w:rsidR="0074248F" w:rsidRPr="0074248F" w:rsidRDefault="0074248F" w:rsidP="00155F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Рис. 1.</w:t>
      </w:r>
      <w:r w:rsidR="001C58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005F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Полная в</w:t>
      </w:r>
      <w:r w:rsidR="001C58D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ероятность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осцилляций​ под действием тока среды </w:t>
      </w:r>
      <w:r w:rsidR="002562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(слева) и 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учётом </w:t>
      </w:r>
      <w:r w:rsidR="00A7744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NSI</w:t>
      </w:r>
      <w:r w:rsidR="002562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(справа)</w:t>
      </w:r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74248F" w:rsidRPr="00980591" w:rsidRDefault="00980591" w:rsidP="00155F2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trike/>
          <w:color w:val="0F1115"/>
          <w:sz w:val="24"/>
          <w:szCs w:val="24"/>
          <w:lang w:eastAsia="ru-RU"/>
        </w:rPr>
      </w:pPr>
      <w:r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п</w:t>
      </w:r>
      <w:r w:rsidR="0074248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олученные </w:t>
      </w:r>
      <w:r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</w:t>
      </w:r>
      <w:r w:rsidR="0074248F"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численные результаты</w:t>
      </w:r>
      <w:r w:rsidRPr="002110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наглядно демонстрирующие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что учёт нестандартных взаимодействий приводит к усилению </w:t>
      </w:r>
      <w:r w:rsidR="0028419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полных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осцилляций </w:t>
      </w:r>
      <w:r w:rsidR="00005F0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примерно на половину</w:t>
      </w:r>
      <w:r w:rsidR="000108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порядка </w:t>
      </w:r>
      <w:r w:rsidR="0074248F"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 сравнению со случаем только стандартных токов. </w:t>
      </w:r>
    </w:p>
    <w:p w:rsidR="00F2372F" w:rsidRDefault="0074248F" w:rsidP="00F2372F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4248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Литература</w:t>
      </w:r>
    </w:p>
    <w:p w:rsidR="00EE233D" w:rsidRPr="00EE233D" w:rsidRDefault="00EE233D" w:rsidP="00EE233D">
      <w:pPr>
        <w:pStyle w:val="a6"/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proofErr w:type="spellStart"/>
      <w:r w:rsidRPr="00EE233D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Perego</w:t>
      </w:r>
      <w:proofErr w:type="spellEnd"/>
      <w:r w:rsidRPr="00EE233D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 et al. Neutrino-driven winds from neutron star merger remnants // Mon. Not. Roy. Astron. Soc. 2014. Vol. 443. P. 3134.</w:t>
      </w:r>
    </w:p>
    <w:p w:rsidR="00F2372F" w:rsidRDefault="00F2372F" w:rsidP="0074248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proofErr w:type="spellStart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Studenikin</w:t>
      </w:r>
      <w:proofErr w:type="spellEnd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A. Neutrinos in electromagnetic fields and moving media // Phys. At. </w:t>
      </w:r>
      <w:proofErr w:type="spellStart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Nucl</w:t>
      </w:r>
      <w:proofErr w:type="spellEnd"/>
      <w:r w:rsidRPr="0074248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. 2004. Vol. 67. P. 993.</w:t>
      </w:r>
      <w:r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</w:t>
      </w:r>
    </w:p>
    <w:p w:rsidR="00212118" w:rsidRPr="00F2372F" w:rsidRDefault="00F2372F" w:rsidP="0074248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proofErr w:type="spellStart"/>
      <w:r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Pustoshny</w:t>
      </w:r>
      <w:proofErr w:type="spellEnd"/>
      <w:r w:rsidRPr="00F2372F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P., Studenikin A. Neutrino spin and spin-flavor oscillations in transversal matter currents // Phys. Rev. D. 2018. Vol. 98. P. 113009</w:t>
      </w:r>
    </w:p>
    <w:sectPr w:rsidR="00212118" w:rsidRPr="00F2372F" w:rsidSect="00785953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03C5"/>
    <w:multiLevelType w:val="multilevel"/>
    <w:tmpl w:val="A924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E09AC"/>
    <w:multiLevelType w:val="multilevel"/>
    <w:tmpl w:val="E5F0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AD797E"/>
    <w:multiLevelType w:val="multilevel"/>
    <w:tmpl w:val="E5F0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82"/>
    <w:rsid w:val="00005F0C"/>
    <w:rsid w:val="000108FD"/>
    <w:rsid w:val="00073709"/>
    <w:rsid w:val="000C7BD4"/>
    <w:rsid w:val="00155F20"/>
    <w:rsid w:val="001C58DB"/>
    <w:rsid w:val="001D4177"/>
    <w:rsid w:val="0021102D"/>
    <w:rsid w:val="00212118"/>
    <w:rsid w:val="00256245"/>
    <w:rsid w:val="00284198"/>
    <w:rsid w:val="002C25B2"/>
    <w:rsid w:val="002E39F6"/>
    <w:rsid w:val="003136A3"/>
    <w:rsid w:val="003839FC"/>
    <w:rsid w:val="003A0C65"/>
    <w:rsid w:val="0045440B"/>
    <w:rsid w:val="004E4B78"/>
    <w:rsid w:val="006224FA"/>
    <w:rsid w:val="00670F94"/>
    <w:rsid w:val="00697E82"/>
    <w:rsid w:val="0074248F"/>
    <w:rsid w:val="00785953"/>
    <w:rsid w:val="00880DCB"/>
    <w:rsid w:val="00980591"/>
    <w:rsid w:val="00A01812"/>
    <w:rsid w:val="00A7744B"/>
    <w:rsid w:val="00AA33C0"/>
    <w:rsid w:val="00EE233D"/>
    <w:rsid w:val="00F2372F"/>
    <w:rsid w:val="00F32659"/>
    <w:rsid w:val="00F718A9"/>
    <w:rsid w:val="00F838A7"/>
    <w:rsid w:val="00FC0525"/>
    <w:rsid w:val="00FC2F81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6FE1"/>
  <w15:chartTrackingRefBased/>
  <w15:docId w15:val="{08C5E009-2FA9-4E00-8393-344F08C0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2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24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4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4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74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4248F"/>
    <w:rPr>
      <w:b/>
      <w:bCs/>
    </w:rPr>
  </w:style>
  <w:style w:type="character" w:styleId="a4">
    <w:name w:val="Emphasis"/>
    <w:basedOn w:val="a0"/>
    <w:uiPriority w:val="20"/>
    <w:qFormat/>
    <w:rsid w:val="0074248F"/>
    <w:rPr>
      <w:i/>
      <w:iCs/>
    </w:rPr>
  </w:style>
  <w:style w:type="character" w:customStyle="1" w:styleId="katex-mathml">
    <w:name w:val="katex-mathml"/>
    <w:basedOn w:val="a0"/>
    <w:rsid w:val="0074248F"/>
  </w:style>
  <w:style w:type="character" w:customStyle="1" w:styleId="mord">
    <w:name w:val="mord"/>
    <w:basedOn w:val="a0"/>
    <w:rsid w:val="0074248F"/>
  </w:style>
  <w:style w:type="character" w:customStyle="1" w:styleId="vlist-s">
    <w:name w:val="vlist-s"/>
    <w:basedOn w:val="a0"/>
    <w:rsid w:val="0074248F"/>
  </w:style>
  <w:style w:type="character" w:customStyle="1" w:styleId="mrel">
    <w:name w:val="mrel"/>
    <w:basedOn w:val="a0"/>
    <w:rsid w:val="0074248F"/>
  </w:style>
  <w:style w:type="character" w:customStyle="1" w:styleId="mopen">
    <w:name w:val="mopen"/>
    <w:basedOn w:val="a0"/>
    <w:rsid w:val="0074248F"/>
  </w:style>
  <w:style w:type="character" w:customStyle="1" w:styleId="mclose">
    <w:name w:val="mclose"/>
    <w:basedOn w:val="a0"/>
    <w:rsid w:val="0074248F"/>
  </w:style>
  <w:style w:type="character" w:customStyle="1" w:styleId="mpunct">
    <w:name w:val="mpunct"/>
    <w:basedOn w:val="a0"/>
    <w:rsid w:val="0074248F"/>
  </w:style>
  <w:style w:type="character" w:customStyle="1" w:styleId="mbin">
    <w:name w:val="mbin"/>
    <w:basedOn w:val="a0"/>
    <w:rsid w:val="0074248F"/>
  </w:style>
  <w:style w:type="character" w:customStyle="1" w:styleId="delimsizing">
    <w:name w:val="delimsizing"/>
    <w:basedOn w:val="a0"/>
    <w:rsid w:val="0074248F"/>
  </w:style>
  <w:style w:type="character" w:styleId="a5">
    <w:name w:val="Hyperlink"/>
    <w:basedOn w:val="a0"/>
    <w:uiPriority w:val="99"/>
    <w:semiHidden/>
    <w:unhideWhenUsed/>
    <w:rsid w:val="0074248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515A7-EF18-4DBB-9934-9F292297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2876</Characters>
  <Application>Microsoft Office Word</Application>
  <DocSecurity>0</DocSecurity>
  <Lines>58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2026-03-01T15:25:00Z</dcterms:created>
  <dcterms:modified xsi:type="dcterms:W3CDTF">2026-03-01T16:29:00Z</dcterms:modified>
</cp:coreProperties>
</file>